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2694E" w14:textId="2F69284F" w:rsidR="006D3A53" w:rsidRPr="00B56577" w:rsidRDefault="006D3A53" w:rsidP="006D3A53">
      <w:pPr>
        <w:pStyle w:val="Heading1"/>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1739"/>
        <w:gridCol w:w="12219"/>
      </w:tblGrid>
      <w:tr w:rsidR="0022677B"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2392B217" w:rsidR="00156F7C" w:rsidRPr="00B56577" w:rsidRDefault="00DA6039" w:rsidP="009E63EB">
            <w:pPr>
              <w:pStyle w:val="BodyTextBold"/>
              <w:rPr>
                <w:rFonts w:ascii="Lato" w:hAnsi="Lato"/>
                <w:b w:val="0"/>
              </w:rPr>
            </w:pPr>
            <w:r w:rsidRPr="00DA6039">
              <w:rPr>
                <w:rFonts w:ascii="Lato" w:hAnsi="Lato"/>
                <w:b w:val="0"/>
              </w:rPr>
              <w:t>DP218 ‘Review of the SEC Charging Methodology’</w:t>
            </w:r>
            <w:r>
              <w:rPr>
                <w:rFonts w:ascii="Lato" w:hAnsi="Lato"/>
                <w:b w:val="0"/>
              </w:rPr>
              <w:t xml:space="preserve"> Request for Information (RFI)</w:t>
            </w:r>
          </w:p>
        </w:tc>
      </w:tr>
      <w:tr w:rsidR="0022677B"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64A9D598" w:rsidR="00E218D7" w:rsidRPr="00B56577" w:rsidRDefault="00BD0222" w:rsidP="009E63EB">
            <w:pPr>
              <w:pStyle w:val="BodyTextBold"/>
              <w:rPr>
                <w:rFonts w:ascii="Lato" w:hAnsi="Lato"/>
                <w:b w:val="0"/>
              </w:rPr>
            </w:pPr>
            <w:r>
              <w:rPr>
                <w:rFonts w:ascii="Lato" w:hAnsi="Lato"/>
                <w:b w:val="0"/>
              </w:rPr>
              <w:t>25</w:t>
            </w:r>
            <w:r w:rsidR="00FF59EF" w:rsidRPr="00B56577">
              <w:rPr>
                <w:rFonts w:ascii="Lato" w:hAnsi="Lato"/>
                <w:b w:val="0"/>
              </w:rPr>
              <w:t xml:space="preserve"> </w:t>
            </w:r>
            <w:r w:rsidR="00DA6039">
              <w:rPr>
                <w:rFonts w:ascii="Lato" w:hAnsi="Lato"/>
                <w:b w:val="0"/>
              </w:rPr>
              <w:t>June</w:t>
            </w:r>
            <w:r w:rsidR="00AA7EDE" w:rsidRPr="00B56577">
              <w:rPr>
                <w:rFonts w:ascii="Lato" w:hAnsi="Lato"/>
                <w:b w:val="0"/>
              </w:rPr>
              <w:t xml:space="preserve"> 2024</w:t>
            </w:r>
          </w:p>
        </w:tc>
      </w:tr>
      <w:tr w:rsidR="0022677B"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22677B" w:rsidP="0086498F">
            <w:pPr>
              <w:pStyle w:val="BodyTextBold"/>
              <w:rPr>
                <w:rFonts w:ascii="Lato" w:hAnsi="Lato"/>
                <w:b w:val="0"/>
              </w:rPr>
            </w:pPr>
            <w:hyperlink r:id="rId11" w:history="1">
              <w:r w:rsidR="0086498F" w:rsidRPr="00B56577">
                <w:rPr>
                  <w:rStyle w:val="Hyperlink"/>
                  <w:rFonts w:ascii="Lato" w:hAnsi="Lato"/>
                </w:rPr>
                <w:t>consultations@smartdcc.co.uk</w:t>
              </w:r>
            </w:hyperlink>
            <w:hyperlink r:id="rId12" w:history="1">
              <w:r w:rsidR="00CC0D98">
                <w:rPr>
                  <w:rStyle w:val="Hyperlink"/>
                </w:rPr>
                <w:t>mailto:enrolment.adoption@smartdcc.co.uk</w:t>
              </w:r>
            </w:hyperlink>
            <w:r w:rsidR="00B86663" w:rsidRPr="00B56577">
              <w:rPr>
                <w:rFonts w:ascii="Lato" w:hAnsi="Lato"/>
                <w:b w:val="0"/>
              </w:rPr>
              <w:t xml:space="preserve"> </w:t>
            </w:r>
          </w:p>
        </w:tc>
      </w:tr>
      <w:tr w:rsidR="0022677B"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27218E0D" w:rsidR="00F3668C" w:rsidRPr="00B56577" w:rsidRDefault="00D90368" w:rsidP="009E63EB">
            <w:pPr>
              <w:pStyle w:val="BodyTextBold"/>
              <w:rPr>
                <w:rFonts w:ascii="Lato" w:hAnsi="Lato"/>
                <w:b w:val="0"/>
              </w:rPr>
            </w:pPr>
            <w:r>
              <w:rPr>
                <w:rFonts w:ascii="Lato" w:hAnsi="Lato"/>
                <w:b w:val="0"/>
              </w:rPr>
              <w:t>SMS PLC &amp; Group Companies</w:t>
            </w:r>
            <w:r w:rsidR="00E62707">
              <w:rPr>
                <w:rFonts w:ascii="Lato" w:hAnsi="Lato"/>
                <w:b w:val="0"/>
              </w:rPr>
              <w:t xml:space="preserve"> </w:t>
            </w:r>
            <w:r w:rsidR="00E62707">
              <w:rPr>
                <w:rFonts w:ascii="Lato" w:hAnsi="Lato"/>
                <w:b w:val="0"/>
              </w:rPr>
              <w:t xml:space="preserve"> | Loop Energy App | Hugo Energy App | NatWest | Santander Bank | Rightmove PLC |</w:t>
            </w:r>
            <w:r w:rsidR="00E62707">
              <w:rPr>
                <w:rFonts w:ascii="Lato" w:hAnsi="Lato"/>
                <w:b w:val="0"/>
              </w:rPr>
              <w:t xml:space="preserve"> </w:t>
            </w:r>
            <w:proofErr w:type="spellStart"/>
            <w:r w:rsidR="00E62707">
              <w:rPr>
                <w:rFonts w:ascii="Lato" w:hAnsi="Lato"/>
                <w:b w:val="0"/>
              </w:rPr>
              <w:t>Equiwatt</w:t>
            </w:r>
            <w:proofErr w:type="spellEnd"/>
            <w:r w:rsidR="00E62707">
              <w:rPr>
                <w:rFonts w:ascii="Lato" w:hAnsi="Lato"/>
                <w:b w:val="0"/>
              </w:rPr>
              <w:t xml:space="preserve"> | Oxfordshire County Council | SSE Business Energy | Total Energies | </w:t>
            </w:r>
            <w:r w:rsidR="00336AE7">
              <w:rPr>
                <w:rFonts w:ascii="Lato" w:hAnsi="Lato"/>
                <w:b w:val="0"/>
              </w:rPr>
              <w:t>SMS PLC’s Direct DCDA Customer Base</w:t>
            </w:r>
            <w:r w:rsidR="00F14F60">
              <w:rPr>
                <w:rFonts w:ascii="Lato" w:hAnsi="Lato"/>
                <w:b w:val="0"/>
              </w:rPr>
              <w:t xml:space="preserve"> | Axle Energy | </w:t>
            </w:r>
            <w:r w:rsidR="0022677B">
              <w:rPr>
                <w:rFonts w:ascii="Lato" w:hAnsi="Lato"/>
                <w:b w:val="0"/>
              </w:rPr>
              <w:t xml:space="preserve">Multiple Other Businesses that are reliant on Smart Meter Data via Other User Role at no additional cost as that already bared by the GB bill payers. </w:t>
            </w:r>
            <w:r w:rsidR="00336AE7">
              <w:rPr>
                <w:rFonts w:ascii="Lato" w:hAnsi="Lato"/>
                <w:b w:val="0"/>
              </w:rPr>
              <w:t xml:space="preserve"> </w:t>
            </w:r>
          </w:p>
        </w:tc>
      </w:tr>
      <w:tr w:rsidR="0022677B"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5B1CD8A2" w:rsidR="0052508C" w:rsidRPr="00B56577" w:rsidRDefault="00D90368" w:rsidP="009E63EB">
            <w:pPr>
              <w:pStyle w:val="BodyTextBold"/>
              <w:rPr>
                <w:rFonts w:ascii="Lato" w:hAnsi="Lato"/>
                <w:b w:val="0"/>
              </w:rPr>
            </w:pPr>
            <w:r>
              <w:rPr>
                <w:rFonts w:ascii="Lato" w:hAnsi="Lato"/>
                <w:b w:val="0"/>
              </w:rPr>
              <w:t>Tom Woolley</w:t>
            </w:r>
          </w:p>
        </w:tc>
      </w:tr>
      <w:tr w:rsidR="0022677B"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439F0011" w:rsidR="0052508C" w:rsidRPr="00B56577" w:rsidRDefault="0022677B" w:rsidP="009E63EB">
            <w:pPr>
              <w:pStyle w:val="BodyTextBold"/>
              <w:rPr>
                <w:rFonts w:ascii="Lato" w:hAnsi="Lato"/>
                <w:b w:val="0"/>
              </w:rPr>
            </w:pPr>
            <w:hyperlink r:id="rId13" w:history="1">
              <w:r w:rsidR="00D90368" w:rsidRPr="00343881">
                <w:rPr>
                  <w:rStyle w:val="Hyperlink"/>
                  <w:rFonts w:ascii="Lato" w:hAnsi="Lato"/>
                  <w:b w:val="0"/>
                </w:rPr>
                <w:t>Tom.woolley@sms-plc.com</w:t>
              </w:r>
            </w:hyperlink>
          </w:p>
        </w:tc>
      </w:tr>
      <w:tr w:rsidR="0022677B"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057B37BC" w:rsidR="0052508C" w:rsidRPr="00B56577" w:rsidRDefault="00D90368" w:rsidP="009E63EB">
            <w:pPr>
              <w:pStyle w:val="BodyTextBold"/>
              <w:rPr>
                <w:rFonts w:ascii="Lato" w:hAnsi="Lato"/>
                <w:b w:val="0"/>
              </w:rPr>
            </w:pPr>
            <w:r>
              <w:rPr>
                <w:rFonts w:ascii="Lato" w:hAnsi="Lato"/>
                <w:b w:val="0"/>
              </w:rPr>
              <w:t>07919166929</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562CF24F" w:rsidR="004064E0" w:rsidRDefault="00D30606" w:rsidP="00DC52C9">
      <w:pPr>
        <w:pStyle w:val="Heading1"/>
        <w:ind w:left="848" w:hanging="848"/>
        <w:rPr>
          <w:rFonts w:ascii="Lato" w:hAnsi="Lato"/>
          <w:b w:val="0"/>
        </w:rPr>
      </w:pPr>
      <w:r>
        <w:rPr>
          <w:rFonts w:ascii="Lato" w:hAnsi="Lato"/>
        </w:rPr>
        <w:lastRenderedPageBreak/>
        <w:t xml:space="preserve"> </w:t>
      </w:r>
      <w:r w:rsidR="00DC52C9" w:rsidRPr="00B56577">
        <w:rPr>
          <w:rFonts w:ascii="Lato" w:hAnsi="Lato"/>
        </w:rPr>
        <w:t>R</w:t>
      </w:r>
      <w:r w:rsidR="004064E0" w:rsidRPr="00B56577">
        <w:rPr>
          <w:rFonts w:ascii="Lato" w:hAnsi="Lato"/>
        </w:rPr>
        <w:t xml:space="preserve">esponses to the </w:t>
      </w:r>
      <w:r w:rsidR="002E637C">
        <w:rPr>
          <w:rFonts w:ascii="Lato" w:hAnsi="Lato"/>
        </w:rPr>
        <w:t xml:space="preserve">DP218 </w:t>
      </w:r>
      <w:r w:rsidR="009A718D">
        <w:rPr>
          <w:rFonts w:ascii="Lato" w:hAnsi="Lato"/>
        </w:rPr>
        <w:t>RFI</w:t>
      </w:r>
      <w:r w:rsidR="004064E0" w:rsidRPr="00B56577">
        <w:rPr>
          <w:rFonts w:ascii="Lato" w:hAnsi="Lato"/>
        </w:rPr>
        <w:t xml:space="preserve"> questions</w:t>
      </w:r>
      <w:bookmarkEnd w:id="0"/>
    </w:p>
    <w:p w14:paraId="108B4830" w14:textId="485E07C4" w:rsidR="00811A2D" w:rsidRPr="00601D9F" w:rsidRDefault="00811A2D" w:rsidP="00601D9F">
      <w:pPr>
        <w:pStyle w:val="Heading2"/>
        <w:keepNext w:val="0"/>
        <w:spacing w:before="220" w:after="220"/>
        <w:ind w:left="709" w:hanging="709"/>
        <w:rPr>
          <w:rFonts w:ascii="Lato" w:eastAsiaTheme="minorHAnsi" w:hAnsi="Lato" w:cstheme="minorBidi"/>
          <w:bCs w:val="0"/>
          <w:iCs w:val="0"/>
          <w:color w:val="CA005D"/>
          <w:szCs w:val="22"/>
        </w:rPr>
      </w:pPr>
      <w:r w:rsidRPr="00601D9F">
        <w:rPr>
          <w:rFonts w:ascii="Lato" w:eastAsiaTheme="minorHAnsi" w:hAnsi="Lato" w:cstheme="minorBidi"/>
          <w:bCs w:val="0"/>
          <w:iCs w:val="0"/>
          <w:color w:val="CA005D"/>
          <w:szCs w:val="22"/>
        </w:rPr>
        <w:t>Questions on key drivers for change and guiding principles</w:t>
      </w:r>
    </w:p>
    <w:tbl>
      <w:tblPr>
        <w:tblStyle w:val="TableTemplate1"/>
        <w:tblW w:w="5000" w:type="pct"/>
        <w:tblLook w:val="04A0" w:firstRow="1" w:lastRow="0" w:firstColumn="1" w:lastColumn="0" w:noHBand="0" w:noVBand="1"/>
      </w:tblPr>
      <w:tblGrid>
        <w:gridCol w:w="1020"/>
        <w:gridCol w:w="9955"/>
        <w:gridCol w:w="2963"/>
      </w:tblGrid>
      <w:tr w:rsidR="009E3938" w:rsidRPr="00B56577" w14:paraId="3E2A3BAD" w14:textId="77777777" w:rsidTr="00C45A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 w:type="pct"/>
          </w:tcPr>
          <w:p w14:paraId="68971F25" w14:textId="6F574FEE" w:rsidR="00674D62" w:rsidRPr="00B56577" w:rsidRDefault="004B2C0E" w:rsidP="00FE755A">
            <w:pPr>
              <w:pStyle w:val="TableText-Left"/>
              <w:spacing w:line="276" w:lineRule="auto"/>
              <w:jc w:val="center"/>
              <w:rPr>
                <w:rFonts w:ascii="Lato" w:hAnsi="Lato"/>
              </w:rPr>
            </w:pPr>
            <w:r w:rsidRPr="00B56577">
              <w:rPr>
                <w:rFonts w:ascii="Lato" w:hAnsi="Lato"/>
              </w:rPr>
              <w:t>Numb</w:t>
            </w:r>
            <w:r w:rsidR="00C22E7C">
              <w:rPr>
                <w:rFonts w:ascii="Lato" w:hAnsi="Lato"/>
              </w:rPr>
              <w:t>er</w:t>
            </w:r>
          </w:p>
        </w:tc>
        <w:tc>
          <w:tcPr>
            <w:tcW w:w="3571" w:type="pct"/>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312F3A" w:rsidRPr="00B56577" w14:paraId="72511565" w14:textId="77777777" w:rsidTr="00C45A9D">
        <w:trPr>
          <w:cantSplit/>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3571" w:type="pct"/>
            <w:vAlign w:val="center"/>
          </w:tcPr>
          <w:p w14:paraId="2E8CAFFB" w14:textId="6C2B6662" w:rsidR="00312F3A" w:rsidRPr="00B56577" w:rsidRDefault="00E83697"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83697">
              <w:rPr>
                <w:rFonts w:ascii="Lato" w:hAnsi="Lato"/>
              </w:rPr>
              <w:t>Do you have any comments and/or insights on the drivers of change identified in this chapter</w:t>
            </w:r>
            <w:r w:rsidR="00353BD1">
              <w:rPr>
                <w:rFonts w:ascii="Lato" w:hAnsi="Lato"/>
              </w:rPr>
              <w:t xml:space="preserve"> 1</w:t>
            </w:r>
            <w:r w:rsidRPr="00E83697">
              <w:rPr>
                <w:rFonts w:ascii="Lato" w:hAnsi="Lato"/>
              </w:rPr>
              <w:t>?</w:t>
            </w:r>
          </w:p>
        </w:tc>
        <w:tc>
          <w:tcPr>
            <w:tcW w:w="1063" w:type="pct"/>
            <w:vAlign w:val="center"/>
          </w:tcPr>
          <w:p w14:paraId="6647FA10" w14:textId="660933CF" w:rsidR="00312F3A" w:rsidRPr="00B56577" w:rsidRDefault="00F66DF0"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6123B">
              <w:rPr>
                <w:rFonts w:ascii="Lato" w:hAnsi="Lato"/>
                <w:color w:val="FF0000"/>
              </w:rPr>
              <w:t xml:space="preserve">Readers would find it extremely useful if the DCC would publish a clear comparison between originally forecast volumes (ISFT Volume Profiles) and </w:t>
            </w:r>
            <w:r w:rsidR="0006123B" w:rsidRPr="0006123B">
              <w:rPr>
                <w:rFonts w:ascii="Lato" w:hAnsi="Lato"/>
                <w:color w:val="FF0000"/>
              </w:rPr>
              <w:t xml:space="preserve">current/forecast volumes. Without context of original expectations, it is very difficult to make an informed assessment. </w:t>
            </w:r>
            <w:r w:rsidR="00B35C78">
              <w:rPr>
                <w:rFonts w:ascii="Lato" w:hAnsi="Lato"/>
                <w:color w:val="FF0000"/>
              </w:rPr>
              <w:t>Furthermore</w:t>
            </w:r>
            <w:r w:rsidR="00BC3ACE">
              <w:rPr>
                <w:rFonts w:ascii="Lato" w:hAnsi="Lato"/>
                <w:color w:val="FF0000"/>
              </w:rPr>
              <w:t>,</w:t>
            </w:r>
            <w:r w:rsidR="00B35C78">
              <w:rPr>
                <w:rFonts w:ascii="Lato" w:hAnsi="Lato"/>
                <w:color w:val="FF0000"/>
              </w:rPr>
              <w:t xml:space="preserve"> there is absolutely no reference to the consumer within the </w:t>
            </w:r>
            <w:r w:rsidR="00BC3ACE">
              <w:rPr>
                <w:rFonts w:ascii="Lato" w:hAnsi="Lato"/>
                <w:color w:val="FF0000"/>
              </w:rPr>
              <w:t>drivers which we believe is highly concerning.</w:t>
            </w:r>
          </w:p>
        </w:tc>
      </w:tr>
      <w:tr w:rsidR="00312F3A" w:rsidRPr="00B56577" w14:paraId="1746CC52" w14:textId="2BBE4DE6"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lastRenderedPageBreak/>
              <w:t>Q2</w:t>
            </w:r>
          </w:p>
        </w:tc>
        <w:tc>
          <w:tcPr>
            <w:tcW w:w="3571" w:type="pct"/>
            <w:vAlign w:val="center"/>
          </w:tcPr>
          <w:p w14:paraId="4A576EE9" w14:textId="760946CC" w:rsidR="00312F3A" w:rsidRPr="00B56577" w:rsidRDefault="00395E93"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5E93">
              <w:rPr>
                <w:rFonts w:ascii="Lato" w:hAnsi="Lato"/>
              </w:rPr>
              <w:t>Do you have any comments on the guiding principles detailed at figure 4?</w:t>
            </w:r>
          </w:p>
        </w:tc>
        <w:tc>
          <w:tcPr>
            <w:tcW w:w="1063" w:type="pct"/>
            <w:vAlign w:val="center"/>
          </w:tcPr>
          <w:p w14:paraId="1B50F333" w14:textId="5E5FEA4F" w:rsidR="00AE5050" w:rsidRDefault="00AE5050" w:rsidP="00AE505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06123B">
              <w:rPr>
                <w:rFonts w:ascii="Lato" w:hAnsi="Lato"/>
                <w:color w:val="FF0000"/>
              </w:rPr>
              <w:t>Two fundamental principles for this review should be 1) the avoidance of increased (direct or indirect) costs to the energy consumer &amp; 2) support and encourage consumer choice in accessing their smart meter data</w:t>
            </w:r>
            <w:r w:rsidR="00653971">
              <w:rPr>
                <w:rFonts w:ascii="Lato" w:hAnsi="Lato"/>
                <w:color w:val="FF0000"/>
              </w:rPr>
              <w:t xml:space="preserve"> from their trusted brand, which is not always the energy supplier. </w:t>
            </w:r>
          </w:p>
          <w:p w14:paraId="79571C74" w14:textId="77777777" w:rsidR="00AE5050" w:rsidRDefault="00AE5050" w:rsidP="00AE505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p>
          <w:p w14:paraId="5052F482" w14:textId="0B8E9E2F" w:rsidR="00AE5050" w:rsidRPr="00AE5050" w:rsidRDefault="00AE5050" w:rsidP="00AE505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E5050">
              <w:rPr>
                <w:rFonts w:ascii="Lato" w:hAnsi="Lato"/>
                <w:color w:val="FF0000"/>
              </w:rPr>
              <w:t>•</w:t>
            </w:r>
            <w:r w:rsidRPr="00AE5050">
              <w:rPr>
                <w:rFonts w:ascii="Lato" w:hAnsi="Lato"/>
                <w:color w:val="FF0000"/>
              </w:rPr>
              <w:tab/>
              <w:t>The DCC and its capabilities is paid for my consumers, in their energy bills. Not Energy Suppliers</w:t>
            </w:r>
          </w:p>
          <w:p w14:paraId="197B0834" w14:textId="77777777" w:rsidR="00AE5050" w:rsidRPr="00AE5050" w:rsidRDefault="00AE5050" w:rsidP="00AE505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E5050">
              <w:rPr>
                <w:rFonts w:ascii="Lato" w:hAnsi="Lato"/>
                <w:color w:val="FF0000"/>
              </w:rPr>
              <w:t>•</w:t>
            </w:r>
            <w:r w:rsidRPr="00AE5050">
              <w:rPr>
                <w:rFonts w:ascii="Lato" w:hAnsi="Lato"/>
                <w:color w:val="FF0000"/>
              </w:rPr>
              <w:tab/>
              <w:t xml:space="preserve">The vast majority of offerings/products and services to customers that use Smart Meter Data are provided for free, if not at cost. </w:t>
            </w:r>
          </w:p>
          <w:p w14:paraId="1FF678BA" w14:textId="77777777" w:rsidR="00AE5050" w:rsidRPr="00AE5050" w:rsidRDefault="00AE5050" w:rsidP="00AE505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E5050">
              <w:rPr>
                <w:rFonts w:ascii="Lato" w:hAnsi="Lato"/>
                <w:color w:val="FF0000"/>
              </w:rPr>
              <w:t>o</w:t>
            </w:r>
            <w:r w:rsidRPr="00AE5050">
              <w:rPr>
                <w:rFonts w:ascii="Lato" w:hAnsi="Lato"/>
                <w:color w:val="FF0000"/>
              </w:rPr>
              <w:tab/>
              <w:t xml:space="preserve">This is critical as it creates equal and diverse access. Without this, only those that could afford to pay could get the benefits </w:t>
            </w:r>
            <w:r w:rsidRPr="00AE5050">
              <w:rPr>
                <w:rFonts w:ascii="Lato" w:hAnsi="Lato"/>
                <w:color w:val="FF0000"/>
              </w:rPr>
              <w:lastRenderedPageBreak/>
              <w:t xml:space="preserve">of Energy Data driven solutions, like insights. </w:t>
            </w:r>
          </w:p>
          <w:p w14:paraId="06EBDFC5" w14:textId="4D823623" w:rsidR="00AE5050" w:rsidRDefault="00AE5050" w:rsidP="00AE505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E5050">
              <w:rPr>
                <w:rFonts w:ascii="Lato" w:hAnsi="Lato"/>
                <w:color w:val="FF0000"/>
              </w:rPr>
              <w:t>•</w:t>
            </w:r>
            <w:r w:rsidRPr="00AE5050">
              <w:rPr>
                <w:rFonts w:ascii="Lato" w:hAnsi="Lato"/>
                <w:color w:val="FF0000"/>
              </w:rPr>
              <w:tab/>
              <w:t>Data needs to and is starting to drive the energy transition, this is why it needs to be made available for players from across industries to use as a key component to services that drive the Energy Transition.</w:t>
            </w:r>
          </w:p>
          <w:p w14:paraId="313D48D8" w14:textId="77777777" w:rsidR="00AE5050" w:rsidRDefault="00AE5050"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p>
          <w:p w14:paraId="4BFF77B4" w14:textId="77777777" w:rsidR="00AE5050" w:rsidRDefault="00AE5050"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p>
          <w:p w14:paraId="3EBF2CF3" w14:textId="05672142" w:rsidR="00312F3A" w:rsidRPr="00B56577" w:rsidRDefault="00312F3A"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0A15259C" w14:textId="77777777" w:rsidR="00C45A9D" w:rsidRDefault="00C45A9D"/>
    <w:p w14:paraId="7F917E21" w14:textId="0BA0B87E" w:rsidR="005D5D2A" w:rsidRPr="005D5D2A" w:rsidRDefault="005D5D2A" w:rsidP="005D5D2A">
      <w:pPr>
        <w:pStyle w:val="Heading2"/>
        <w:keepNext w:val="0"/>
        <w:spacing w:before="220" w:after="220"/>
        <w:ind w:left="709" w:hanging="709"/>
        <w:rPr>
          <w:rFonts w:ascii="Lato" w:eastAsiaTheme="minorHAnsi" w:hAnsi="Lato" w:cstheme="minorBidi"/>
          <w:bCs w:val="0"/>
          <w:iCs w:val="0"/>
          <w:color w:val="CA005D"/>
          <w:szCs w:val="22"/>
        </w:rPr>
      </w:pPr>
      <w:r w:rsidRPr="005D5D2A">
        <w:rPr>
          <w:rFonts w:ascii="Lato" w:eastAsiaTheme="minorHAnsi" w:hAnsi="Lato" w:cstheme="minorBidi"/>
          <w:bCs w:val="0"/>
          <w:iCs w:val="0"/>
          <w:color w:val="CA005D"/>
          <w:szCs w:val="22"/>
        </w:rPr>
        <w:t>Questions on scope of charges under review</w:t>
      </w:r>
    </w:p>
    <w:tbl>
      <w:tblPr>
        <w:tblStyle w:val="TableTemplate1"/>
        <w:tblW w:w="5000" w:type="pct"/>
        <w:tblLook w:val="04A0" w:firstRow="1" w:lastRow="0" w:firstColumn="1" w:lastColumn="0" w:noHBand="0" w:noVBand="1"/>
      </w:tblPr>
      <w:tblGrid>
        <w:gridCol w:w="1020"/>
        <w:gridCol w:w="9955"/>
        <w:gridCol w:w="2963"/>
      </w:tblGrid>
      <w:tr w:rsidR="00C45A9D" w:rsidRPr="00B56577" w14:paraId="6A4A2C72" w14:textId="77777777" w:rsidTr="00C45A9D">
        <w:trPr>
          <w:cnfStyle w:val="100000000000" w:firstRow="1" w:lastRow="0" w:firstColumn="0" w:lastColumn="0" w:oddVBand="0" w:evenVBand="0" w:oddHBand="0" w:evenHBand="0" w:firstRowFirstColumn="0" w:firstRowLastColumn="0" w:lastRowFirstColumn="0" w:lastRowLastColumn="0"/>
          <w:trHeight w:val="66"/>
        </w:trPr>
        <w:tc>
          <w:tcPr>
            <w:cnfStyle w:val="001000000000" w:firstRow="0" w:lastRow="0" w:firstColumn="1" w:lastColumn="0" w:oddVBand="0" w:evenVBand="0" w:oddHBand="0" w:evenHBand="0" w:firstRowFirstColumn="0" w:firstRowLastColumn="0" w:lastRowFirstColumn="0" w:lastRowLastColumn="0"/>
            <w:tcW w:w="366" w:type="pct"/>
            <w:vAlign w:val="top"/>
          </w:tcPr>
          <w:p w14:paraId="196EB028" w14:textId="6558706E" w:rsidR="00C45A9D" w:rsidRPr="00B56577" w:rsidRDefault="00C45A9D" w:rsidP="00C45A9D">
            <w:pPr>
              <w:pStyle w:val="TableText-Left"/>
              <w:spacing w:line="276" w:lineRule="auto"/>
              <w:jc w:val="center"/>
              <w:rPr>
                <w:rFonts w:ascii="Lato" w:hAnsi="Lato"/>
              </w:rPr>
            </w:pPr>
            <w:r w:rsidRPr="00B56577">
              <w:rPr>
                <w:rFonts w:ascii="Lato" w:hAnsi="Lato"/>
              </w:rPr>
              <w:t>Numb</w:t>
            </w:r>
            <w:r>
              <w:rPr>
                <w:rFonts w:ascii="Lato" w:hAnsi="Lato"/>
              </w:rPr>
              <w:t>er</w:t>
            </w:r>
          </w:p>
        </w:tc>
        <w:tc>
          <w:tcPr>
            <w:tcW w:w="3571" w:type="pct"/>
            <w:vAlign w:val="top"/>
          </w:tcPr>
          <w:p w14:paraId="4668AB99" w14:textId="0CDE29EB" w:rsidR="00C45A9D" w:rsidRPr="007941CD"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388BE7D8" w14:textId="41FADCCF" w:rsidR="00C45A9D" w:rsidRPr="00B56577"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C45A9D" w:rsidRPr="00B56577" w14:paraId="57F37949"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FD9F6E7" w14:textId="747B75F9" w:rsidR="00C45A9D" w:rsidRPr="00B56577" w:rsidRDefault="00C45A9D" w:rsidP="00C45A9D">
            <w:pPr>
              <w:pStyle w:val="TableText-Left"/>
              <w:spacing w:line="276" w:lineRule="auto"/>
              <w:jc w:val="center"/>
              <w:rPr>
                <w:rFonts w:ascii="Lato" w:hAnsi="Lato"/>
                <w:color w:val="auto"/>
              </w:rPr>
            </w:pPr>
            <w:r w:rsidRPr="00B56577">
              <w:rPr>
                <w:rFonts w:ascii="Lato" w:hAnsi="Lato"/>
                <w:color w:val="auto"/>
              </w:rPr>
              <w:t>Q3</w:t>
            </w:r>
          </w:p>
        </w:tc>
        <w:tc>
          <w:tcPr>
            <w:tcW w:w="3571" w:type="pct"/>
            <w:vAlign w:val="center"/>
          </w:tcPr>
          <w:p w14:paraId="27E1D502" w14:textId="170D0170" w:rsidR="00C45A9D" w:rsidRPr="00B56577" w:rsidRDefault="00A14040"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14040">
              <w:rPr>
                <w:rFonts w:ascii="Lato" w:hAnsi="Lato"/>
              </w:rPr>
              <w:t>Do you agree with the scope of this review given the proportion of costs recovered through Fixed Charges in DCC’s cost structure, including the need to better understand and categorise costs (e.g. transaction costs). If not, please explain why.</w:t>
            </w:r>
          </w:p>
        </w:tc>
        <w:tc>
          <w:tcPr>
            <w:tcW w:w="1063" w:type="pct"/>
            <w:vAlign w:val="center"/>
          </w:tcPr>
          <w:p w14:paraId="1DB58672" w14:textId="280EF319" w:rsidR="00C45A9D" w:rsidRPr="00B56577" w:rsidRDefault="0006123B"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b/>
                <w:bCs/>
              </w:rPr>
            </w:pPr>
            <w:r w:rsidRPr="0006123B">
              <w:rPr>
                <w:rFonts w:ascii="Lato" w:hAnsi="Lato"/>
                <w:color w:val="FF0000"/>
              </w:rPr>
              <w:t xml:space="preserve">DCC has not presented any information that indicates the position taken by the DCC (31. “recovering costs through fixed charges was considered more economic and efficient”) has changed. </w:t>
            </w:r>
          </w:p>
        </w:tc>
      </w:tr>
    </w:tbl>
    <w:p w14:paraId="5B33F1EE" w14:textId="3383D6F1" w:rsidR="005D5D2A" w:rsidRPr="00773AE9" w:rsidRDefault="00773AE9" w:rsidP="00A14040">
      <w:pPr>
        <w:pStyle w:val="Heading2"/>
        <w:spacing w:before="220" w:after="220"/>
        <w:ind w:left="709" w:hanging="709"/>
        <w:rPr>
          <w:rFonts w:ascii="Lato" w:eastAsiaTheme="minorHAnsi" w:hAnsi="Lato" w:cstheme="minorBidi"/>
          <w:bCs w:val="0"/>
          <w:iCs w:val="0"/>
          <w:color w:val="CA005D"/>
          <w:szCs w:val="22"/>
        </w:rPr>
      </w:pPr>
      <w:r w:rsidRPr="00773AE9">
        <w:rPr>
          <w:rFonts w:ascii="Lato" w:eastAsiaTheme="minorHAnsi" w:hAnsi="Lato" w:cstheme="minorBidi"/>
          <w:bCs w:val="0"/>
          <w:iCs w:val="0"/>
          <w:color w:val="CA005D"/>
          <w:szCs w:val="22"/>
        </w:rPr>
        <w:lastRenderedPageBreak/>
        <w:t>Questions on uniform charging</w:t>
      </w:r>
    </w:p>
    <w:tbl>
      <w:tblPr>
        <w:tblStyle w:val="TableTemplate1"/>
        <w:tblW w:w="5000" w:type="pct"/>
        <w:tblLook w:val="04A0" w:firstRow="1" w:lastRow="0" w:firstColumn="1" w:lastColumn="0" w:noHBand="0" w:noVBand="1"/>
      </w:tblPr>
      <w:tblGrid>
        <w:gridCol w:w="1020"/>
        <w:gridCol w:w="9955"/>
        <w:gridCol w:w="2963"/>
      </w:tblGrid>
      <w:tr w:rsidR="00773AE9" w:rsidRPr="00B56577" w14:paraId="3D7A0C51" w14:textId="77777777" w:rsidTr="00773AE9">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6" w:type="pct"/>
            <w:vAlign w:val="top"/>
          </w:tcPr>
          <w:p w14:paraId="5DD4C7DB" w14:textId="536689FE" w:rsidR="00773AE9" w:rsidRPr="00B56577" w:rsidRDefault="00773AE9" w:rsidP="00773AE9">
            <w:pPr>
              <w:pStyle w:val="TableText-Left"/>
              <w:spacing w:line="276" w:lineRule="auto"/>
              <w:jc w:val="center"/>
              <w:rPr>
                <w:rFonts w:ascii="Lato" w:hAnsi="Lato"/>
              </w:rPr>
            </w:pPr>
            <w:r w:rsidRPr="00B56577">
              <w:rPr>
                <w:rFonts w:ascii="Lato" w:hAnsi="Lato"/>
              </w:rPr>
              <w:t>Numb</w:t>
            </w:r>
            <w:r>
              <w:rPr>
                <w:rFonts w:ascii="Lato" w:hAnsi="Lato"/>
              </w:rPr>
              <w:t>er</w:t>
            </w:r>
          </w:p>
        </w:tc>
        <w:tc>
          <w:tcPr>
            <w:tcW w:w="3571" w:type="pct"/>
            <w:vAlign w:val="top"/>
          </w:tcPr>
          <w:p w14:paraId="4703F2BA" w14:textId="711DDB44"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7D839F0F" w14:textId="20470236"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773AE9" w:rsidRPr="00B56577" w14:paraId="181D936A"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7C61D7A" w14:textId="21B8D577" w:rsidR="00773AE9" w:rsidRPr="00C61661" w:rsidRDefault="00773AE9" w:rsidP="00773AE9">
            <w:pPr>
              <w:pStyle w:val="TableText-Left"/>
              <w:spacing w:line="276" w:lineRule="auto"/>
              <w:jc w:val="center"/>
              <w:rPr>
                <w:rFonts w:ascii="Lato" w:hAnsi="Lato"/>
              </w:rPr>
            </w:pPr>
            <w:r w:rsidRPr="00C61661">
              <w:rPr>
                <w:rFonts w:ascii="Lato" w:hAnsi="Lato"/>
                <w:color w:val="auto"/>
              </w:rPr>
              <w:t>Q4</w:t>
            </w:r>
          </w:p>
        </w:tc>
        <w:tc>
          <w:tcPr>
            <w:tcW w:w="3571" w:type="pct"/>
            <w:vAlign w:val="center"/>
          </w:tcPr>
          <w:p w14:paraId="26658F83" w14:textId="4AE20820" w:rsidR="00773AE9" w:rsidRPr="005B04E7" w:rsidRDefault="00773AE9"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5B04E7">
              <w:rPr>
                <w:rFonts w:ascii="Lato" w:hAnsi="Lato"/>
              </w:rPr>
              <w:t>Do you agree that future DCC’s charges for the provision of mandated services should continue to be uniform across the country and across SMETS1 and SMETS2 meters?</w:t>
            </w:r>
          </w:p>
        </w:tc>
        <w:tc>
          <w:tcPr>
            <w:tcW w:w="1063" w:type="pct"/>
            <w:vAlign w:val="center"/>
          </w:tcPr>
          <w:p w14:paraId="213F654A" w14:textId="59BBBAE3" w:rsidR="00773AE9" w:rsidRPr="00B56577" w:rsidRDefault="0006123B"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6123B">
              <w:rPr>
                <w:rFonts w:ascii="Lato" w:hAnsi="Lato"/>
                <w:color w:val="FF0000"/>
              </w:rPr>
              <w:t xml:space="preserve">Agreed. Within the context of Other User access, OUs have no </w:t>
            </w:r>
            <w:r>
              <w:rPr>
                <w:rFonts w:ascii="Lato" w:hAnsi="Lato"/>
                <w:color w:val="FF0000"/>
              </w:rPr>
              <w:t>influence</w:t>
            </w:r>
            <w:r w:rsidRPr="0006123B">
              <w:rPr>
                <w:rFonts w:ascii="Lato" w:hAnsi="Lato"/>
                <w:color w:val="FF0000"/>
              </w:rPr>
              <w:t xml:space="preserve"> over ‘flavour’ of meter and therefore should not be impeded by this complication.</w:t>
            </w:r>
          </w:p>
        </w:tc>
      </w:tr>
    </w:tbl>
    <w:p w14:paraId="445F8E3A" w14:textId="77777777" w:rsidR="00F923FC" w:rsidRDefault="00F923FC"/>
    <w:p w14:paraId="1226E647" w14:textId="1B782C03" w:rsidR="00F923FC" w:rsidRPr="00F923FC" w:rsidRDefault="00F923FC" w:rsidP="00F923FC">
      <w:pPr>
        <w:pStyle w:val="Heading2"/>
        <w:keepNext w:val="0"/>
        <w:spacing w:before="220" w:after="220"/>
        <w:ind w:left="709" w:hanging="709"/>
        <w:rPr>
          <w:rFonts w:ascii="Lato" w:eastAsiaTheme="minorHAnsi" w:hAnsi="Lato" w:cstheme="minorBidi"/>
          <w:bCs w:val="0"/>
          <w:iCs w:val="0"/>
          <w:color w:val="CA005D"/>
          <w:szCs w:val="22"/>
        </w:rPr>
      </w:pPr>
      <w:r w:rsidRPr="00F923FC">
        <w:rPr>
          <w:rFonts w:ascii="Lato" w:eastAsiaTheme="minorHAnsi" w:hAnsi="Lato" w:cstheme="minorBidi"/>
          <w:bCs w:val="0"/>
          <w:iCs w:val="0"/>
          <w:color w:val="CA005D"/>
          <w:szCs w:val="22"/>
        </w:rPr>
        <w:t>Questions on the charging basis</w:t>
      </w:r>
    </w:p>
    <w:tbl>
      <w:tblPr>
        <w:tblStyle w:val="TableTemplate1"/>
        <w:tblW w:w="5000" w:type="pct"/>
        <w:tblLook w:val="04A0" w:firstRow="1" w:lastRow="0" w:firstColumn="1" w:lastColumn="0" w:noHBand="0" w:noVBand="1"/>
      </w:tblPr>
      <w:tblGrid>
        <w:gridCol w:w="1020"/>
        <w:gridCol w:w="9955"/>
        <w:gridCol w:w="2963"/>
      </w:tblGrid>
      <w:tr w:rsidR="00F923FC" w:rsidRPr="00B56577" w14:paraId="2C3F978A" w14:textId="77777777" w:rsidTr="00F923FC">
        <w:trPr>
          <w:cnfStyle w:val="100000000000" w:firstRow="1" w:lastRow="0" w:firstColumn="0" w:lastColumn="0" w:oddVBand="0" w:evenVBand="0" w:oddHBand="0"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366" w:type="pct"/>
            <w:vAlign w:val="top"/>
          </w:tcPr>
          <w:p w14:paraId="62AA9916" w14:textId="32E55E5F" w:rsidR="00F923FC" w:rsidRPr="00B56577" w:rsidRDefault="00F923FC" w:rsidP="00F923F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45BFBEA7" w14:textId="6602EDC4"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801E874" w14:textId="52B5BAF1"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923FC" w:rsidRPr="00B56577" w14:paraId="0ABFB89B"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2157AC0" w14:textId="735619F3" w:rsidR="00F923FC" w:rsidRPr="00B56577" w:rsidRDefault="00F923FC" w:rsidP="00F923FC">
            <w:pPr>
              <w:pStyle w:val="TableText-Left"/>
              <w:spacing w:line="276" w:lineRule="auto"/>
              <w:jc w:val="center"/>
              <w:rPr>
                <w:rFonts w:ascii="Lato" w:hAnsi="Lato"/>
              </w:rPr>
            </w:pPr>
            <w:r w:rsidRPr="00B56577">
              <w:rPr>
                <w:rFonts w:ascii="Lato" w:hAnsi="Lato"/>
                <w:color w:val="auto"/>
              </w:rPr>
              <w:t>Q</w:t>
            </w:r>
            <w:r>
              <w:rPr>
                <w:rFonts w:ascii="Lato" w:hAnsi="Lato"/>
                <w:color w:val="auto"/>
              </w:rPr>
              <w:t>5</w:t>
            </w:r>
          </w:p>
        </w:tc>
        <w:tc>
          <w:tcPr>
            <w:tcW w:w="3571" w:type="pct"/>
            <w:vAlign w:val="center"/>
          </w:tcPr>
          <w:p w14:paraId="4D12EF6A" w14:textId="492E79B6" w:rsidR="00F923FC" w:rsidRPr="00DB40FD"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B40FD">
              <w:rPr>
                <w:rFonts w:ascii="Lato" w:hAnsi="Lato"/>
              </w:rPr>
              <w:t>In your view, what would be a suitable metric to set charges for different User Categories (e.g. Energy Suppliers, Network Operators, Other SEC Parties)?</w:t>
            </w:r>
          </w:p>
        </w:tc>
        <w:tc>
          <w:tcPr>
            <w:tcW w:w="1063" w:type="pct"/>
            <w:vAlign w:val="center"/>
          </w:tcPr>
          <w:p w14:paraId="6A77A347" w14:textId="3D53F37F" w:rsidR="00F923FC" w:rsidRPr="00B56577" w:rsidRDefault="0022228E"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22228E">
              <w:rPr>
                <w:rFonts w:ascii="Lato" w:hAnsi="Lato"/>
                <w:color w:val="FF0000"/>
              </w:rPr>
              <w:t>The existing metrics associated with Energy Suppliers and Network Operators provide an appropriate metric today and should remain unchanged. With regards to OU access, it is still too early within their evolution to determine an appropriate metric without fear of compromising the success of this user segment.</w:t>
            </w:r>
          </w:p>
        </w:tc>
      </w:tr>
      <w:tr w:rsidR="00F923FC" w:rsidRPr="00B56577" w14:paraId="4C5BC2E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5249EED" w14:textId="6CB02A42" w:rsidR="00F923FC" w:rsidRPr="00B56577" w:rsidRDefault="00F923FC" w:rsidP="00F923FC">
            <w:pPr>
              <w:pStyle w:val="TableText-Left"/>
              <w:spacing w:line="276" w:lineRule="auto"/>
              <w:jc w:val="center"/>
              <w:rPr>
                <w:rFonts w:ascii="Lato" w:hAnsi="Lato"/>
                <w:color w:val="auto"/>
              </w:rPr>
            </w:pPr>
            <w:r w:rsidRPr="00B56577">
              <w:rPr>
                <w:rFonts w:ascii="Lato" w:hAnsi="Lato"/>
                <w:color w:val="auto"/>
              </w:rPr>
              <w:lastRenderedPageBreak/>
              <w:t>Q</w:t>
            </w:r>
            <w:r>
              <w:rPr>
                <w:rFonts w:ascii="Lato" w:hAnsi="Lato"/>
                <w:color w:val="auto"/>
              </w:rPr>
              <w:t>6</w:t>
            </w:r>
          </w:p>
        </w:tc>
        <w:tc>
          <w:tcPr>
            <w:tcW w:w="3571" w:type="pct"/>
            <w:vAlign w:val="center"/>
          </w:tcPr>
          <w:p w14:paraId="38F1AEF5" w14:textId="2CC4500C" w:rsidR="00F923FC" w:rsidRPr="00B56577"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D4132">
              <w:rPr>
                <w:rFonts w:ascii="Lato" w:hAnsi="Lato"/>
              </w:rPr>
              <w:t>Do you identify any risks or barriers in respect of the potential changes in DCC’s monitoring capabilities that might be required to set the basis on which Users are charged?</w:t>
            </w:r>
          </w:p>
        </w:tc>
        <w:tc>
          <w:tcPr>
            <w:tcW w:w="1063" w:type="pct"/>
            <w:vAlign w:val="center"/>
          </w:tcPr>
          <w:p w14:paraId="3145AF46" w14:textId="77777777" w:rsidR="00F923FC" w:rsidRPr="00A92DD8" w:rsidRDefault="0022228E"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The same risks are barriers exist today as they did when the DCC original decided include these costs within fixed charges. Furthermore, additional risks are barriers include</w:t>
            </w:r>
          </w:p>
          <w:p w14:paraId="457AD06E" w14:textId="47D57336" w:rsidR="0022228E" w:rsidRPr="00A92DD8" w:rsidRDefault="0022228E" w:rsidP="0022228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implementation</w:t>
            </w:r>
          </w:p>
          <w:p w14:paraId="2695DCAC" w14:textId="77777777" w:rsidR="0022228E" w:rsidRPr="00A92DD8" w:rsidRDefault="0022228E" w:rsidP="0022228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billing</w:t>
            </w:r>
          </w:p>
          <w:p w14:paraId="46159A47" w14:textId="513670C1" w:rsidR="0022228E" w:rsidRPr="00A92DD8" w:rsidRDefault="0022228E" w:rsidP="0022228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reconciliation</w:t>
            </w:r>
          </w:p>
          <w:p w14:paraId="2EBFC47E" w14:textId="77777777" w:rsidR="0022228E" w:rsidRPr="00A92DD8" w:rsidRDefault="0022228E" w:rsidP="0022228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message errors and failure management</w:t>
            </w:r>
          </w:p>
          <w:p w14:paraId="7E109D01" w14:textId="77777777" w:rsidR="0022228E" w:rsidRPr="00A92DD8" w:rsidRDefault="0022228E" w:rsidP="0022228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failures of meter compliance.</w:t>
            </w:r>
          </w:p>
          <w:p w14:paraId="2AD1C412" w14:textId="0C1D3CA4" w:rsidR="0022228E" w:rsidRPr="00B56577" w:rsidRDefault="0022228E" w:rsidP="0022228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92DD8">
              <w:rPr>
                <w:rFonts w:ascii="Lato" w:hAnsi="Lato"/>
                <w:color w:val="FF0000"/>
              </w:rPr>
              <w:t xml:space="preserve">Cost of billing disputes </w:t>
            </w:r>
          </w:p>
        </w:tc>
      </w:tr>
    </w:tbl>
    <w:p w14:paraId="6A71EEA8" w14:textId="77777777" w:rsidR="00F923FC" w:rsidRDefault="00F923FC"/>
    <w:p w14:paraId="614B2ED1" w14:textId="0803A3C8" w:rsidR="00F923FC" w:rsidRPr="00EB5957" w:rsidRDefault="00EB5957" w:rsidP="00EB5957">
      <w:pPr>
        <w:pStyle w:val="Heading2"/>
        <w:spacing w:before="220" w:after="220"/>
        <w:ind w:left="709" w:hanging="709"/>
        <w:rPr>
          <w:rFonts w:ascii="Lato" w:eastAsiaTheme="minorHAnsi" w:hAnsi="Lato" w:cstheme="minorBidi"/>
          <w:bCs w:val="0"/>
          <w:iCs w:val="0"/>
          <w:color w:val="CA005D"/>
          <w:szCs w:val="22"/>
        </w:rPr>
      </w:pPr>
      <w:r w:rsidRPr="00EB5957">
        <w:rPr>
          <w:rFonts w:ascii="Lato" w:eastAsiaTheme="minorHAnsi" w:hAnsi="Lato" w:cstheme="minorBidi"/>
          <w:bCs w:val="0"/>
          <w:iCs w:val="0"/>
          <w:color w:val="CA005D"/>
          <w:szCs w:val="22"/>
        </w:rPr>
        <w:lastRenderedPageBreak/>
        <w:t>Questions on data capture requirements on future demand</w:t>
      </w:r>
    </w:p>
    <w:tbl>
      <w:tblPr>
        <w:tblStyle w:val="TableTemplate1"/>
        <w:tblW w:w="5000" w:type="pct"/>
        <w:tblLook w:val="04A0" w:firstRow="1" w:lastRow="0" w:firstColumn="1" w:lastColumn="0" w:noHBand="0" w:noVBand="1"/>
      </w:tblPr>
      <w:tblGrid>
        <w:gridCol w:w="1020"/>
        <w:gridCol w:w="9955"/>
        <w:gridCol w:w="2963"/>
      </w:tblGrid>
      <w:tr w:rsidR="00EB5957" w:rsidRPr="00B56577" w14:paraId="7ADA4082" w14:textId="77777777" w:rsidTr="00EB5957">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65D70091" w14:textId="2D2D4CE2" w:rsidR="00EB5957" w:rsidRPr="00B56577" w:rsidRDefault="00EB5957" w:rsidP="00EB5957">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043DABD2" w14:textId="04B2FC40"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CF55567" w14:textId="17590BB2"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EB5957" w:rsidRPr="00B56577" w14:paraId="19CD45BB"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B1ED935" w14:textId="3A04A239" w:rsidR="00EB5957" w:rsidRPr="00B56577" w:rsidRDefault="00EB5957" w:rsidP="00EB5957">
            <w:pPr>
              <w:pStyle w:val="TableText-Left"/>
              <w:spacing w:line="276" w:lineRule="auto"/>
              <w:jc w:val="center"/>
              <w:rPr>
                <w:rFonts w:ascii="Lato" w:hAnsi="Lato"/>
              </w:rPr>
            </w:pPr>
            <w:r w:rsidRPr="00B56577">
              <w:rPr>
                <w:rFonts w:ascii="Lato" w:hAnsi="Lato"/>
                <w:color w:val="auto"/>
              </w:rPr>
              <w:t>Q</w:t>
            </w:r>
            <w:r>
              <w:rPr>
                <w:rFonts w:ascii="Lato" w:hAnsi="Lato"/>
                <w:color w:val="auto"/>
              </w:rPr>
              <w:t>7</w:t>
            </w:r>
          </w:p>
        </w:tc>
        <w:tc>
          <w:tcPr>
            <w:tcW w:w="3571" w:type="pct"/>
            <w:vAlign w:val="center"/>
          </w:tcPr>
          <w:p w14:paraId="097F9262" w14:textId="5ED0358E" w:rsidR="00EB5957" w:rsidRPr="00B34FD4"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34FD4">
              <w:rPr>
                <w:rFonts w:ascii="Lato" w:hAnsi="Lato"/>
              </w:rPr>
              <w:t>Do you have views on the process through which DCC should collect information on future demand across DCC Users?</w:t>
            </w:r>
          </w:p>
        </w:tc>
        <w:tc>
          <w:tcPr>
            <w:tcW w:w="1063" w:type="pct"/>
            <w:vAlign w:val="center"/>
          </w:tcPr>
          <w:p w14:paraId="7E1F820E" w14:textId="57D10025" w:rsidR="00EB5957" w:rsidRPr="00B56577" w:rsidRDefault="0022228E"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22228E">
              <w:rPr>
                <w:rFonts w:ascii="Lato" w:hAnsi="Lato"/>
                <w:color w:val="FF0000"/>
              </w:rPr>
              <w:t xml:space="preserve">The use of the DCC system will evolve significantly over the next decade with the changing energy market. DCC should continue to engage with users to refine a collective forecast.  </w:t>
            </w:r>
          </w:p>
        </w:tc>
      </w:tr>
      <w:tr w:rsidR="00EB5957" w:rsidRPr="00B56577" w14:paraId="56F25F43"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B1E9726" w14:textId="1EFF167C" w:rsidR="00EB5957" w:rsidRPr="00B56577" w:rsidRDefault="00EB5957" w:rsidP="00EB5957">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8</w:t>
            </w:r>
          </w:p>
        </w:tc>
        <w:tc>
          <w:tcPr>
            <w:tcW w:w="3571" w:type="pct"/>
            <w:vAlign w:val="center"/>
          </w:tcPr>
          <w:p w14:paraId="0F997735" w14:textId="10038644" w:rsidR="00EB5957" w:rsidRPr="00B56577"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7F39">
              <w:rPr>
                <w:rFonts w:ascii="Lato" w:hAnsi="Lato"/>
              </w:rPr>
              <w:t>Are there any barriers to providing DCC with such information?</w:t>
            </w:r>
          </w:p>
        </w:tc>
        <w:tc>
          <w:tcPr>
            <w:tcW w:w="1063" w:type="pct"/>
            <w:vAlign w:val="center"/>
          </w:tcPr>
          <w:p w14:paraId="0D7EDD09" w14:textId="6E8EC9AF" w:rsidR="00EB5957" w:rsidRPr="00B56577" w:rsidRDefault="0022228E"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22228E">
              <w:rPr>
                <w:rFonts w:ascii="Lato" w:hAnsi="Lato"/>
                <w:color w:val="FF0000"/>
              </w:rPr>
              <w:t>No</w:t>
            </w:r>
            <w:r>
              <w:rPr>
                <w:rFonts w:ascii="Lato" w:hAnsi="Lato"/>
                <w:color w:val="FF0000"/>
              </w:rPr>
              <w:t>, the DCC just need to ask. However the accuracy of such information is be variable given the fast changing market.</w:t>
            </w:r>
          </w:p>
        </w:tc>
      </w:tr>
    </w:tbl>
    <w:p w14:paraId="6583DB57" w14:textId="77777777" w:rsidR="0083049B" w:rsidRDefault="0083049B"/>
    <w:p w14:paraId="1B622E21" w14:textId="5C9991E7" w:rsidR="0083049B" w:rsidRPr="00680396" w:rsidRDefault="000D532A" w:rsidP="00680396">
      <w:pPr>
        <w:pStyle w:val="Heading2"/>
        <w:spacing w:before="220" w:after="220"/>
        <w:ind w:left="709" w:hanging="709"/>
        <w:rPr>
          <w:rFonts w:ascii="Lato" w:eastAsiaTheme="minorHAnsi" w:hAnsi="Lato" w:cstheme="minorBidi"/>
          <w:bCs w:val="0"/>
          <w:iCs w:val="0"/>
          <w:color w:val="CA005D"/>
          <w:szCs w:val="22"/>
        </w:rPr>
      </w:pPr>
      <w:r w:rsidRPr="000D532A">
        <w:rPr>
          <w:rFonts w:ascii="Lato" w:eastAsiaTheme="minorHAnsi" w:hAnsi="Lato" w:cstheme="minorBidi"/>
          <w:bCs w:val="0"/>
          <w:iCs w:val="0"/>
          <w:color w:val="CA005D"/>
          <w:szCs w:val="22"/>
        </w:rPr>
        <w:lastRenderedPageBreak/>
        <w:t>Questions on setting a materiality threshold</w:t>
      </w:r>
    </w:p>
    <w:tbl>
      <w:tblPr>
        <w:tblStyle w:val="TableTemplate1"/>
        <w:tblW w:w="5000" w:type="pct"/>
        <w:tblLook w:val="04A0" w:firstRow="1" w:lastRow="0" w:firstColumn="1" w:lastColumn="0" w:noHBand="0" w:noVBand="1"/>
      </w:tblPr>
      <w:tblGrid>
        <w:gridCol w:w="1020"/>
        <w:gridCol w:w="9955"/>
        <w:gridCol w:w="2963"/>
      </w:tblGrid>
      <w:tr w:rsidR="0083049B" w:rsidRPr="00B56577" w14:paraId="33DCC183" w14:textId="77777777" w:rsidTr="0083049B">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6" w:type="pct"/>
            <w:vAlign w:val="top"/>
          </w:tcPr>
          <w:p w14:paraId="02D149EB" w14:textId="46CDE0CC" w:rsidR="0083049B" w:rsidRPr="00B56577" w:rsidRDefault="0083049B" w:rsidP="0083049B">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320D75D8" w14:textId="6335C7E7"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96E9F29" w14:textId="2142C1EF"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83049B" w:rsidRPr="00B56577" w14:paraId="2BBE3F3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1E16EC7" w14:textId="4C6DD07F" w:rsidR="0083049B" w:rsidRPr="00B56577" w:rsidRDefault="0083049B" w:rsidP="0083049B">
            <w:pPr>
              <w:pStyle w:val="TableText-Left"/>
              <w:spacing w:line="276" w:lineRule="auto"/>
              <w:jc w:val="center"/>
              <w:rPr>
                <w:rFonts w:ascii="Lato" w:hAnsi="Lato"/>
              </w:rPr>
            </w:pPr>
            <w:r w:rsidRPr="00B56577">
              <w:rPr>
                <w:rFonts w:ascii="Lato" w:hAnsi="Lato"/>
                <w:color w:val="auto"/>
              </w:rPr>
              <w:t>Q</w:t>
            </w:r>
            <w:r>
              <w:rPr>
                <w:rFonts w:ascii="Lato" w:hAnsi="Lato"/>
                <w:color w:val="auto"/>
              </w:rPr>
              <w:t>9</w:t>
            </w:r>
          </w:p>
        </w:tc>
        <w:tc>
          <w:tcPr>
            <w:tcW w:w="3571" w:type="pct"/>
            <w:vAlign w:val="center"/>
          </w:tcPr>
          <w:p w14:paraId="306398C4" w14:textId="2BE47666" w:rsidR="0083049B" w:rsidRPr="0006438D"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6438D">
              <w:rPr>
                <w:rFonts w:ascii="Lato" w:hAnsi="Lato"/>
              </w:rPr>
              <w:t>Do you agree that a materiality threshold would need to be set to continue to enable innovation on the DCC Network, particularly under the DCC Other User role?</w:t>
            </w:r>
          </w:p>
        </w:tc>
        <w:tc>
          <w:tcPr>
            <w:tcW w:w="1063" w:type="pct"/>
            <w:vAlign w:val="center"/>
          </w:tcPr>
          <w:p w14:paraId="77E87430" w14:textId="53D03D91" w:rsidR="0083049B" w:rsidRPr="00B56577" w:rsidRDefault="00A92DD8"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92DD8">
              <w:rPr>
                <w:rFonts w:ascii="Lato" w:hAnsi="Lato"/>
                <w:color w:val="FF0000"/>
              </w:rPr>
              <w:t>The cost of DCC is born by the energy consumer through their energy bills. Today, the value of Other Users is largely provided to the energy consumer through commercial services (typically free to the consumer). The DCC (and SEC) should monitor this balance, if the value generated by Other Users starts to move towards purely commercial benefits this situation should be reconsidered.</w:t>
            </w:r>
          </w:p>
        </w:tc>
      </w:tr>
      <w:tr w:rsidR="0083049B" w:rsidRPr="00B56577" w14:paraId="5F13B40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718D8D1" w14:textId="0E891A1D"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10</w:t>
            </w:r>
          </w:p>
        </w:tc>
        <w:tc>
          <w:tcPr>
            <w:tcW w:w="3571" w:type="pct"/>
            <w:vAlign w:val="center"/>
          </w:tcPr>
          <w:p w14:paraId="6F42B153" w14:textId="77BAA860"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A1494">
              <w:rPr>
                <w:rFonts w:ascii="Lato" w:hAnsi="Lato"/>
              </w:rPr>
              <w:t>In your view, how low should a threshold based on usage be set to avoid market distortions?</w:t>
            </w:r>
          </w:p>
        </w:tc>
        <w:tc>
          <w:tcPr>
            <w:tcW w:w="1063" w:type="pct"/>
            <w:vAlign w:val="center"/>
          </w:tcPr>
          <w:p w14:paraId="6C99B077" w14:textId="738AD82C" w:rsidR="0083049B" w:rsidRPr="00B56577" w:rsidRDefault="00A92DD8"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92DD8">
              <w:rPr>
                <w:rFonts w:ascii="Lato" w:hAnsi="Lato"/>
                <w:color w:val="FF0000"/>
              </w:rPr>
              <w:t>N/A</w:t>
            </w:r>
          </w:p>
        </w:tc>
      </w:tr>
      <w:tr w:rsidR="0083049B" w:rsidRPr="00B56577" w14:paraId="09772BE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94D39CE" w14:textId="7FD56B25"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1</w:t>
            </w:r>
          </w:p>
        </w:tc>
        <w:tc>
          <w:tcPr>
            <w:tcW w:w="3571" w:type="pct"/>
            <w:vAlign w:val="center"/>
          </w:tcPr>
          <w:p w14:paraId="52AF91DD" w14:textId="5614125B"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04F7A">
              <w:rPr>
                <w:rFonts w:ascii="Lato" w:hAnsi="Lato"/>
              </w:rPr>
              <w:t>In your view, which type of organisations should be exempt from paying charges for their intended use of the network?</w:t>
            </w:r>
          </w:p>
        </w:tc>
        <w:tc>
          <w:tcPr>
            <w:tcW w:w="1063" w:type="pct"/>
            <w:vAlign w:val="center"/>
          </w:tcPr>
          <w:p w14:paraId="347BB90E" w14:textId="247A2E01" w:rsidR="0083049B" w:rsidRPr="00B56577" w:rsidRDefault="00A92DD8"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92DD8">
              <w:rPr>
                <w:rFonts w:ascii="Lato" w:hAnsi="Lato"/>
                <w:color w:val="FF0000"/>
              </w:rPr>
              <w:t>N/A</w:t>
            </w:r>
          </w:p>
        </w:tc>
      </w:tr>
    </w:tbl>
    <w:p w14:paraId="0A7F3625" w14:textId="77777777" w:rsidR="000D532A" w:rsidRDefault="000D532A"/>
    <w:p w14:paraId="185999D5" w14:textId="5402673A" w:rsidR="000D532A" w:rsidRPr="00A24251" w:rsidRDefault="00A24251" w:rsidP="00A24251">
      <w:pPr>
        <w:pStyle w:val="Heading2"/>
        <w:spacing w:before="220" w:after="220"/>
        <w:ind w:left="709" w:hanging="709"/>
        <w:rPr>
          <w:rFonts w:ascii="Lato" w:eastAsiaTheme="minorHAnsi" w:hAnsi="Lato" w:cstheme="minorBidi"/>
          <w:bCs w:val="0"/>
          <w:iCs w:val="0"/>
          <w:color w:val="CA005D"/>
          <w:szCs w:val="22"/>
        </w:rPr>
      </w:pPr>
      <w:r w:rsidRPr="00A24251">
        <w:rPr>
          <w:rFonts w:ascii="Lato" w:eastAsiaTheme="minorHAnsi" w:hAnsi="Lato" w:cstheme="minorBidi"/>
          <w:bCs w:val="0"/>
          <w:iCs w:val="0"/>
          <w:color w:val="CA005D"/>
          <w:szCs w:val="22"/>
        </w:rPr>
        <w:t>Questions on ‘Read and Store’ capabilities</w:t>
      </w:r>
    </w:p>
    <w:tbl>
      <w:tblPr>
        <w:tblStyle w:val="TableTemplate1"/>
        <w:tblW w:w="5000" w:type="pct"/>
        <w:tblLook w:val="04A0" w:firstRow="1" w:lastRow="0" w:firstColumn="1" w:lastColumn="0" w:noHBand="0" w:noVBand="1"/>
      </w:tblPr>
      <w:tblGrid>
        <w:gridCol w:w="1020"/>
        <w:gridCol w:w="9955"/>
        <w:gridCol w:w="2963"/>
      </w:tblGrid>
      <w:tr w:rsidR="00B72AA1" w:rsidRPr="00B56577" w14:paraId="35ABDF19" w14:textId="77777777" w:rsidTr="00B72AA1">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6" w:type="pct"/>
            <w:vAlign w:val="top"/>
          </w:tcPr>
          <w:p w14:paraId="3BD4AEBA" w14:textId="76F29A4E" w:rsidR="00B72AA1" w:rsidRPr="00B56577" w:rsidRDefault="00B72AA1" w:rsidP="00B72AA1">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93FEF8F" w14:textId="00EDF656"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54D6208F" w14:textId="3209B594"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B72AA1" w:rsidRPr="00B56577" w14:paraId="4920AC4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81B5E72" w14:textId="17EFCE9B" w:rsidR="00B72AA1" w:rsidRPr="00B56577" w:rsidRDefault="00B72AA1" w:rsidP="00B72AA1">
            <w:pPr>
              <w:pStyle w:val="TableText-Left"/>
              <w:spacing w:line="276" w:lineRule="auto"/>
              <w:jc w:val="center"/>
              <w:rPr>
                <w:rFonts w:ascii="Lato" w:hAnsi="Lato"/>
              </w:rPr>
            </w:pPr>
            <w:r w:rsidRPr="00B56577">
              <w:rPr>
                <w:rFonts w:ascii="Lato" w:hAnsi="Lato"/>
                <w:color w:val="auto"/>
              </w:rPr>
              <w:t>Q1</w:t>
            </w:r>
            <w:r>
              <w:rPr>
                <w:rFonts w:ascii="Lato" w:hAnsi="Lato"/>
                <w:color w:val="auto"/>
              </w:rPr>
              <w:t>2</w:t>
            </w:r>
          </w:p>
        </w:tc>
        <w:tc>
          <w:tcPr>
            <w:tcW w:w="3571" w:type="pct"/>
            <w:vAlign w:val="center"/>
          </w:tcPr>
          <w:p w14:paraId="4D033CAA" w14:textId="65D5DC22" w:rsidR="00B72AA1" w:rsidRPr="00474F0E" w:rsidRDefault="00B72AA1"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74F0E">
              <w:rPr>
                <w:rFonts w:ascii="Lato" w:hAnsi="Lato"/>
              </w:rPr>
              <w:t>Do you have any insights on how smart meter data repositories could impact your use of DCC’s network?</w:t>
            </w:r>
          </w:p>
        </w:tc>
        <w:tc>
          <w:tcPr>
            <w:tcW w:w="1063" w:type="pct"/>
            <w:vAlign w:val="center"/>
          </w:tcPr>
          <w:p w14:paraId="586A5A1F" w14:textId="77777777" w:rsidR="00B72AA1" w:rsidRPr="00A92DD8" w:rsidRDefault="00A92DD8"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 xml:space="preserve">Other User Smart Meter data repositories already operate within the GB market and create significant reduction in message volume but aggregating requests from multiple organisations to the same meter. </w:t>
            </w:r>
          </w:p>
          <w:p w14:paraId="103B2C56" w14:textId="7FB1F090" w:rsidR="00A92DD8" w:rsidRPr="00B56577" w:rsidRDefault="00A92DD8"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92DD8">
              <w:rPr>
                <w:rFonts w:ascii="Lato" w:hAnsi="Lato"/>
                <w:color w:val="FF0000"/>
              </w:rPr>
              <w:t>A greater opportunity is for the DCC to implement a system wide ‘read and store’ capability across all user categories. DP257 has the potential to be a significant positive step in this direction.</w:t>
            </w:r>
          </w:p>
        </w:tc>
      </w:tr>
    </w:tbl>
    <w:p w14:paraId="69ADB51B" w14:textId="77777777" w:rsidR="00A90540" w:rsidRDefault="00A90540"/>
    <w:p w14:paraId="75770157" w14:textId="63FA2CA6" w:rsidR="00A90540" w:rsidRPr="00A90540" w:rsidRDefault="00A90540" w:rsidP="00A9054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lastRenderedPageBreak/>
        <w:t>Questions on charging option 1</w:t>
      </w:r>
    </w:p>
    <w:tbl>
      <w:tblPr>
        <w:tblStyle w:val="TableTemplate1"/>
        <w:tblW w:w="5000" w:type="pct"/>
        <w:tblLook w:val="04A0" w:firstRow="1" w:lastRow="0" w:firstColumn="1" w:lastColumn="0" w:noHBand="0" w:noVBand="1"/>
      </w:tblPr>
      <w:tblGrid>
        <w:gridCol w:w="1020"/>
        <w:gridCol w:w="9955"/>
        <w:gridCol w:w="2963"/>
      </w:tblGrid>
      <w:tr w:rsidR="00A90540" w:rsidRPr="00B56577" w14:paraId="07A4EDCA" w14:textId="77777777" w:rsidTr="00A90540">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33999FFA" w14:textId="14231DAE" w:rsidR="00A90540" w:rsidRPr="00B56577" w:rsidRDefault="00A90540" w:rsidP="00A90540">
            <w:pPr>
              <w:pStyle w:val="TableText-Left"/>
              <w:spacing w:line="276" w:lineRule="auto"/>
              <w:jc w:val="center"/>
              <w:rPr>
                <w:rFonts w:ascii="Lato" w:hAnsi="Lato"/>
              </w:rPr>
            </w:pPr>
            <w:r w:rsidRPr="00B56577">
              <w:rPr>
                <w:rFonts w:ascii="Lato" w:hAnsi="Lato"/>
              </w:rPr>
              <w:t>Numb</w:t>
            </w:r>
            <w:r>
              <w:rPr>
                <w:rFonts w:ascii="Lato" w:hAnsi="Lato"/>
              </w:rPr>
              <w:t>er</w:t>
            </w:r>
          </w:p>
        </w:tc>
        <w:tc>
          <w:tcPr>
            <w:tcW w:w="3571" w:type="pct"/>
            <w:vAlign w:val="top"/>
          </w:tcPr>
          <w:p w14:paraId="279B1383" w14:textId="223660FF" w:rsidR="00A90540" w:rsidRPr="0042566F"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03484C54" w14:textId="1B33E6BD" w:rsidR="00A90540" w:rsidRPr="00B56577"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A90540" w:rsidRPr="00B56577" w14:paraId="003E35D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0D909A3" w14:textId="33DDDCFF"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3</w:t>
            </w:r>
          </w:p>
        </w:tc>
        <w:tc>
          <w:tcPr>
            <w:tcW w:w="3571" w:type="pct"/>
            <w:vAlign w:val="center"/>
          </w:tcPr>
          <w:p w14:paraId="6153853C" w14:textId="3025749F"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566F">
              <w:rPr>
                <w:rFonts w:ascii="Lato" w:hAnsi="Lato"/>
              </w:rPr>
              <w:t xml:space="preserve">Do you agree with our initial assessment </w:t>
            </w:r>
            <w:r w:rsidRPr="00FB6C2F">
              <w:rPr>
                <w:rFonts w:ascii="Lato" w:hAnsi="Lato"/>
              </w:rPr>
              <w:t xml:space="preserve">of the impact of </w:t>
            </w:r>
            <w:r w:rsidRPr="0042566F">
              <w:rPr>
                <w:rFonts w:ascii="Lato" w:hAnsi="Lato"/>
              </w:rPr>
              <w:t>charging option</w:t>
            </w:r>
            <w:r>
              <w:rPr>
                <w:rFonts w:ascii="Lato" w:hAnsi="Lato"/>
              </w:rPr>
              <w:t xml:space="preserve"> 1</w:t>
            </w:r>
            <w:r w:rsidRPr="0042566F">
              <w:rPr>
                <w:rFonts w:ascii="Lato" w:hAnsi="Lato"/>
              </w:rPr>
              <w:t>?</w:t>
            </w:r>
          </w:p>
        </w:tc>
        <w:tc>
          <w:tcPr>
            <w:tcW w:w="1063" w:type="pct"/>
            <w:vAlign w:val="center"/>
          </w:tcPr>
          <w:p w14:paraId="5C2B3286" w14:textId="3D279A9E" w:rsidR="00A90540" w:rsidRPr="00B56577" w:rsidRDefault="005C752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5C7520">
              <w:rPr>
                <w:rFonts w:ascii="Lato" w:hAnsi="Lato"/>
                <w:color w:val="FF0000"/>
              </w:rPr>
              <w:t>It is very unclear if the current volumes are greater than predicted. The statement in 69 is first a network optimisation challenge and we recommend not jumping directly to an economic solution before fully investigating other opportunities to more efficiently manage the network.</w:t>
            </w:r>
          </w:p>
        </w:tc>
      </w:tr>
      <w:tr w:rsidR="00A90540" w:rsidRPr="00B56577" w14:paraId="1A3BA58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766E8F9" w14:textId="3653EC67"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4</w:t>
            </w:r>
          </w:p>
        </w:tc>
        <w:tc>
          <w:tcPr>
            <w:tcW w:w="3571" w:type="pct"/>
            <w:vAlign w:val="center"/>
          </w:tcPr>
          <w:p w14:paraId="62044F61" w14:textId="5871403C"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800E58">
              <w:rPr>
                <w:rFonts w:ascii="Lato" w:hAnsi="Lato"/>
              </w:rPr>
              <w:t>Do you think that the current charging arrangements should be retained or replaced, and why?</w:t>
            </w:r>
          </w:p>
        </w:tc>
        <w:tc>
          <w:tcPr>
            <w:tcW w:w="1063" w:type="pct"/>
            <w:vAlign w:val="center"/>
          </w:tcPr>
          <w:p w14:paraId="5A661B8C" w14:textId="28F98728" w:rsidR="00A90540" w:rsidRPr="00B56577" w:rsidRDefault="005C752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5C7520">
              <w:rPr>
                <w:rFonts w:ascii="Lato" w:hAnsi="Lato"/>
                <w:color w:val="FF0000"/>
              </w:rPr>
              <w:t>Current charging arrangement should be maintained until such point where network usage is better understood</w:t>
            </w:r>
            <w:r>
              <w:rPr>
                <w:rFonts w:ascii="Lato" w:hAnsi="Lato"/>
                <w:color w:val="FF0000"/>
              </w:rPr>
              <w:t xml:space="preserve"> and, potentially, </w:t>
            </w:r>
            <w:r w:rsidR="000157BD">
              <w:rPr>
                <w:rFonts w:ascii="Lato" w:hAnsi="Lato"/>
                <w:color w:val="FF0000"/>
              </w:rPr>
              <w:t>stabilised</w:t>
            </w:r>
            <w:r>
              <w:rPr>
                <w:rFonts w:ascii="Lato" w:hAnsi="Lato"/>
                <w:color w:val="FF0000"/>
              </w:rPr>
              <w:t>.</w:t>
            </w:r>
          </w:p>
        </w:tc>
      </w:tr>
    </w:tbl>
    <w:p w14:paraId="27EE8796" w14:textId="77777777" w:rsidR="00F15596" w:rsidRDefault="00F15596"/>
    <w:p w14:paraId="71981D70" w14:textId="13384229" w:rsidR="00714724" w:rsidRPr="00714724" w:rsidRDefault="00714724" w:rsidP="00714724">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lastRenderedPageBreak/>
        <w:t xml:space="preserve">Questions on charging option </w:t>
      </w:r>
      <w:r>
        <w:rPr>
          <w:rFonts w:ascii="Lato" w:eastAsiaTheme="minorHAnsi" w:hAnsi="Lato" w:cstheme="minorBidi"/>
          <w:bCs w:val="0"/>
          <w:iCs w:val="0"/>
          <w:color w:val="CA005D"/>
          <w:szCs w:val="22"/>
        </w:rPr>
        <w:t>2</w:t>
      </w:r>
    </w:p>
    <w:tbl>
      <w:tblPr>
        <w:tblStyle w:val="TableTemplate1"/>
        <w:tblW w:w="5000" w:type="pct"/>
        <w:tblLook w:val="04A0" w:firstRow="1" w:lastRow="0" w:firstColumn="1" w:lastColumn="0" w:noHBand="0" w:noVBand="1"/>
      </w:tblPr>
      <w:tblGrid>
        <w:gridCol w:w="1020"/>
        <w:gridCol w:w="9955"/>
        <w:gridCol w:w="2963"/>
      </w:tblGrid>
      <w:tr w:rsidR="00F15596" w:rsidRPr="00B56577" w14:paraId="3FC27B6E" w14:textId="77777777" w:rsidTr="00F15596">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66" w:type="pct"/>
            <w:vAlign w:val="top"/>
          </w:tcPr>
          <w:p w14:paraId="31169307" w14:textId="596C7BB1" w:rsidR="00F15596" w:rsidRPr="00DE5A35" w:rsidRDefault="00F15596" w:rsidP="00F155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4A134FB4" w14:textId="6710D668" w:rsidR="00F15596" w:rsidRPr="00800E58"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1E59643" w14:textId="0BFE3ABC" w:rsidR="00F15596" w:rsidRPr="00B56577"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15596" w:rsidRPr="00B56577" w14:paraId="394B496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16F1884" w14:textId="77252E1B" w:rsidR="00F15596" w:rsidRPr="00DE5A35" w:rsidRDefault="00F15596" w:rsidP="00F15596">
            <w:pPr>
              <w:pStyle w:val="TableText-Left"/>
              <w:spacing w:line="276" w:lineRule="auto"/>
              <w:jc w:val="center"/>
              <w:rPr>
                <w:rFonts w:ascii="Lato" w:hAnsi="Lato"/>
              </w:rPr>
            </w:pPr>
            <w:r w:rsidRPr="00DE5A35">
              <w:rPr>
                <w:rFonts w:ascii="Lato" w:hAnsi="Lato"/>
                <w:color w:val="auto"/>
              </w:rPr>
              <w:t>Q15</w:t>
            </w:r>
          </w:p>
        </w:tc>
        <w:tc>
          <w:tcPr>
            <w:tcW w:w="3571" w:type="pct"/>
            <w:vAlign w:val="center"/>
          </w:tcPr>
          <w:p w14:paraId="7E0C71C4" w14:textId="6866BABE" w:rsidR="00F15596" w:rsidRPr="00DE5A35"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Do you agree with our initial assessment </w:t>
            </w:r>
            <w:r w:rsidRPr="00FB6C2F">
              <w:rPr>
                <w:rFonts w:ascii="Lato" w:hAnsi="Lato"/>
              </w:rPr>
              <w:t xml:space="preserve">of the impact of </w:t>
            </w:r>
            <w:r w:rsidRPr="00DE5A35">
              <w:rPr>
                <w:rFonts w:ascii="Lato" w:hAnsi="Lato"/>
              </w:rPr>
              <w:t>charging option</w:t>
            </w:r>
            <w:r>
              <w:rPr>
                <w:rFonts w:ascii="Lato" w:hAnsi="Lato"/>
              </w:rPr>
              <w:t xml:space="preserve"> 2</w:t>
            </w:r>
            <w:r w:rsidRPr="00DE5A35">
              <w:rPr>
                <w:rFonts w:ascii="Lato" w:hAnsi="Lato"/>
              </w:rPr>
              <w:t>?</w:t>
            </w:r>
          </w:p>
        </w:tc>
        <w:tc>
          <w:tcPr>
            <w:tcW w:w="1063" w:type="pct"/>
            <w:vAlign w:val="center"/>
          </w:tcPr>
          <w:p w14:paraId="3E756909" w14:textId="16D055F6" w:rsidR="00F15596" w:rsidRPr="00B56577" w:rsidRDefault="005C7520"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157BD">
              <w:rPr>
                <w:rFonts w:ascii="Lato" w:hAnsi="Lato"/>
                <w:color w:val="FF0000"/>
              </w:rPr>
              <w:t>Insufficient analysis has been presented to properly consider. Expanding Fix charges to user group</w:t>
            </w:r>
            <w:r w:rsidR="000157BD" w:rsidRPr="000157BD">
              <w:rPr>
                <w:rFonts w:ascii="Lato" w:hAnsi="Lato"/>
                <w:color w:val="FF0000"/>
              </w:rPr>
              <w:t>s</w:t>
            </w:r>
            <w:r w:rsidRPr="000157BD">
              <w:rPr>
                <w:rFonts w:ascii="Lato" w:hAnsi="Lato"/>
                <w:color w:val="FF0000"/>
              </w:rPr>
              <w:t xml:space="preserve"> that had no input to the original </w:t>
            </w:r>
            <w:r w:rsidR="000157BD" w:rsidRPr="000157BD">
              <w:rPr>
                <w:rFonts w:ascii="Lato" w:hAnsi="Lato"/>
                <w:color w:val="FF0000"/>
              </w:rPr>
              <w:t>system</w:t>
            </w:r>
            <w:r w:rsidRPr="000157BD">
              <w:rPr>
                <w:rFonts w:ascii="Lato" w:hAnsi="Lato"/>
                <w:color w:val="FF0000"/>
              </w:rPr>
              <w:t xml:space="preserve"> design</w:t>
            </w:r>
            <w:r w:rsidR="000157BD" w:rsidRPr="000157BD">
              <w:rPr>
                <w:rFonts w:ascii="Lato" w:hAnsi="Lato"/>
                <w:color w:val="FF0000"/>
              </w:rPr>
              <w:t>, device reliability</w:t>
            </w:r>
            <w:r w:rsidRPr="000157BD">
              <w:rPr>
                <w:rFonts w:ascii="Lato" w:hAnsi="Lato"/>
                <w:color w:val="FF0000"/>
              </w:rPr>
              <w:t xml:space="preserve"> and very limited input to its </w:t>
            </w:r>
            <w:r w:rsidR="000157BD" w:rsidRPr="000157BD">
              <w:rPr>
                <w:rFonts w:ascii="Lato" w:hAnsi="Lato"/>
                <w:color w:val="FF0000"/>
              </w:rPr>
              <w:t xml:space="preserve">general </w:t>
            </w:r>
            <w:r w:rsidRPr="000157BD">
              <w:rPr>
                <w:rFonts w:ascii="Lato" w:hAnsi="Lato"/>
                <w:color w:val="FF0000"/>
              </w:rPr>
              <w:t>operations</w:t>
            </w:r>
            <w:r w:rsidR="000157BD" w:rsidRPr="000157BD">
              <w:rPr>
                <w:rFonts w:ascii="Lato" w:hAnsi="Lato"/>
                <w:color w:val="FF0000"/>
              </w:rPr>
              <w:t xml:space="preserve"> could be considered a tax on data and consumer choice.</w:t>
            </w:r>
          </w:p>
        </w:tc>
      </w:tr>
      <w:tr w:rsidR="00F15596" w:rsidRPr="00B56577" w14:paraId="5A370E54"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EE67D0A" w14:textId="08C248DC"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Q16</w:t>
            </w:r>
          </w:p>
        </w:tc>
        <w:tc>
          <w:tcPr>
            <w:tcW w:w="3571" w:type="pct"/>
            <w:vAlign w:val="center"/>
          </w:tcPr>
          <w:p w14:paraId="5B57A1F4" w14:textId="7F2D31BC"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How should weighting factors be calculated and updated?</w:t>
            </w:r>
          </w:p>
        </w:tc>
        <w:tc>
          <w:tcPr>
            <w:tcW w:w="1063" w:type="pct"/>
            <w:vAlign w:val="center"/>
          </w:tcPr>
          <w:p w14:paraId="4BECE5C2" w14:textId="2E3BA88C" w:rsidR="00F15596" w:rsidRPr="00B56577" w:rsidRDefault="000157BD"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157BD">
              <w:rPr>
                <w:rFonts w:ascii="Lato" w:hAnsi="Lato"/>
                <w:color w:val="FF0000"/>
              </w:rPr>
              <w:t>Insufficient analysis has been presented to properly consider.</w:t>
            </w:r>
          </w:p>
        </w:tc>
      </w:tr>
      <w:tr w:rsidR="00F15596" w:rsidRPr="00B56577" w14:paraId="32E42DBE"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A9A543F" w14:textId="61AF86C7"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lastRenderedPageBreak/>
              <w:t>Q17</w:t>
            </w:r>
          </w:p>
        </w:tc>
        <w:tc>
          <w:tcPr>
            <w:tcW w:w="3571" w:type="pct"/>
            <w:vAlign w:val="center"/>
          </w:tcPr>
          <w:p w14:paraId="1D9ED0E7" w14:textId="0796D525"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Are there any other impacts or design considerations that should be captured</w:t>
            </w:r>
            <w:r>
              <w:rPr>
                <w:rFonts w:ascii="Lato" w:hAnsi="Lato"/>
              </w:rPr>
              <w:t xml:space="preserve"> under charging option 2</w:t>
            </w:r>
            <w:r w:rsidRPr="00DE5A35">
              <w:rPr>
                <w:rFonts w:ascii="Lato" w:hAnsi="Lato"/>
              </w:rPr>
              <w:t>?</w:t>
            </w:r>
          </w:p>
        </w:tc>
        <w:tc>
          <w:tcPr>
            <w:tcW w:w="1063" w:type="pct"/>
            <w:vAlign w:val="center"/>
          </w:tcPr>
          <w:p w14:paraId="4E2E63C7" w14:textId="77777777" w:rsidR="00F15596" w:rsidRPr="000157BD" w:rsidRDefault="000157BD" w:rsidP="000157BD">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0157BD">
              <w:rPr>
                <w:rFonts w:ascii="Lato" w:hAnsi="Lato"/>
                <w:color w:val="FF0000"/>
              </w:rPr>
              <w:t>Impact on indirect consumer costs</w:t>
            </w:r>
          </w:p>
          <w:p w14:paraId="54D1C97F" w14:textId="77777777" w:rsidR="000157BD" w:rsidRPr="000157BD" w:rsidRDefault="000157BD" w:rsidP="000157BD">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0157BD">
              <w:rPr>
                <w:rFonts w:ascii="Lato" w:hAnsi="Lato"/>
                <w:color w:val="FF0000"/>
              </w:rPr>
              <w:t>Impact on innovation</w:t>
            </w:r>
          </w:p>
          <w:p w14:paraId="39B92FB3" w14:textId="77777777" w:rsidR="000157BD" w:rsidRPr="000157BD" w:rsidRDefault="000157BD" w:rsidP="000157BD">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0157BD">
              <w:rPr>
                <w:rFonts w:ascii="Lato" w:hAnsi="Lato"/>
                <w:color w:val="FF0000"/>
              </w:rPr>
              <w:t>Impact on decarbonisation and process to net zero</w:t>
            </w:r>
          </w:p>
          <w:p w14:paraId="70C0E37D" w14:textId="40A202FF" w:rsidR="000157BD" w:rsidRPr="000157BD" w:rsidRDefault="000157BD" w:rsidP="000157BD">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0157BD">
              <w:rPr>
                <w:rFonts w:ascii="Lato" w:hAnsi="Lato"/>
                <w:color w:val="FF0000"/>
              </w:rPr>
              <w:t>Discouragement of using the smart meter network by other organisations leading to alternative, more costs efficient network deployments.</w:t>
            </w:r>
          </w:p>
        </w:tc>
      </w:tr>
      <w:tr w:rsidR="00F15596" w:rsidRPr="00B56577" w14:paraId="6C0ECDC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5A39241" w14:textId="07FEFA9A"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Q18</w:t>
            </w:r>
          </w:p>
        </w:tc>
        <w:tc>
          <w:tcPr>
            <w:tcW w:w="3571" w:type="pct"/>
            <w:vAlign w:val="center"/>
          </w:tcPr>
          <w:p w14:paraId="1F2EAE7E" w14:textId="1317B36D"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How should the risk of under/over recovery be addressed under </w:t>
            </w:r>
            <w:r>
              <w:rPr>
                <w:rFonts w:ascii="Lato" w:hAnsi="Lato"/>
              </w:rPr>
              <w:t>charging</w:t>
            </w:r>
            <w:r w:rsidRPr="00DE5A35">
              <w:rPr>
                <w:rFonts w:ascii="Lato" w:hAnsi="Lato"/>
              </w:rPr>
              <w:t xml:space="preserve"> option</w:t>
            </w:r>
            <w:r>
              <w:rPr>
                <w:rFonts w:ascii="Lato" w:hAnsi="Lato"/>
              </w:rPr>
              <w:t xml:space="preserve"> 2</w:t>
            </w:r>
            <w:r w:rsidRPr="00DE5A35">
              <w:rPr>
                <w:rFonts w:ascii="Lato" w:hAnsi="Lato"/>
              </w:rPr>
              <w:t>?</w:t>
            </w:r>
          </w:p>
        </w:tc>
        <w:tc>
          <w:tcPr>
            <w:tcW w:w="1063" w:type="pct"/>
            <w:vAlign w:val="center"/>
          </w:tcPr>
          <w:p w14:paraId="5CE8DA62" w14:textId="4018ECE5" w:rsidR="00F15596" w:rsidRPr="00B56577" w:rsidRDefault="000157BD"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157BD">
              <w:rPr>
                <w:rFonts w:ascii="Lato" w:hAnsi="Lato"/>
                <w:color w:val="FF0000"/>
              </w:rPr>
              <w:t>N/A</w:t>
            </w:r>
          </w:p>
        </w:tc>
      </w:tr>
    </w:tbl>
    <w:p w14:paraId="7B0C9A01" w14:textId="77777777" w:rsidR="00377B32" w:rsidRDefault="00377B32"/>
    <w:p w14:paraId="0BB5E558" w14:textId="40EF5A26" w:rsidR="00992DEC" w:rsidRPr="00992DEC" w:rsidRDefault="00992DEC" w:rsidP="00992DEC">
      <w:pPr>
        <w:pStyle w:val="Heading2"/>
        <w:spacing w:before="220" w:after="220"/>
        <w:ind w:left="709" w:hanging="709"/>
        <w:rPr>
          <w:rFonts w:ascii="Lato" w:eastAsiaTheme="minorHAnsi" w:hAnsi="Lato" w:cstheme="minorBidi"/>
          <w:bCs w:val="0"/>
          <w:iCs w:val="0"/>
          <w:color w:val="CA005D"/>
          <w:szCs w:val="22"/>
        </w:rPr>
      </w:pPr>
      <w:r w:rsidRPr="00992DEC">
        <w:rPr>
          <w:rFonts w:ascii="Lato" w:eastAsiaTheme="minorHAnsi" w:hAnsi="Lato" w:cstheme="minorBidi"/>
          <w:bCs w:val="0"/>
          <w:iCs w:val="0"/>
          <w:color w:val="CA005D"/>
          <w:szCs w:val="22"/>
        </w:rPr>
        <w:lastRenderedPageBreak/>
        <w:t xml:space="preserve">Questions on the approach to banding under </w:t>
      </w:r>
      <w:r>
        <w:rPr>
          <w:rFonts w:ascii="Lato" w:eastAsiaTheme="minorHAnsi" w:hAnsi="Lato" w:cstheme="minorBidi"/>
          <w:bCs w:val="0"/>
          <w:iCs w:val="0"/>
          <w:color w:val="CA005D"/>
          <w:szCs w:val="22"/>
        </w:rPr>
        <w:t>charging o</w:t>
      </w:r>
      <w:r w:rsidRPr="00992DEC">
        <w:rPr>
          <w:rFonts w:ascii="Lato" w:eastAsiaTheme="minorHAnsi" w:hAnsi="Lato" w:cstheme="minorBidi"/>
          <w:bCs w:val="0"/>
          <w:iCs w:val="0"/>
          <w:color w:val="CA005D"/>
          <w:szCs w:val="22"/>
        </w:rPr>
        <w:t>ption 3</w:t>
      </w:r>
    </w:p>
    <w:tbl>
      <w:tblPr>
        <w:tblStyle w:val="TableTemplate1"/>
        <w:tblW w:w="5000" w:type="pct"/>
        <w:tblLook w:val="04A0" w:firstRow="1" w:lastRow="0" w:firstColumn="1" w:lastColumn="0" w:noHBand="0" w:noVBand="1"/>
      </w:tblPr>
      <w:tblGrid>
        <w:gridCol w:w="1020"/>
        <w:gridCol w:w="9955"/>
        <w:gridCol w:w="2963"/>
      </w:tblGrid>
      <w:tr w:rsidR="009C4A2E" w:rsidRPr="00B56577" w14:paraId="1FD1AB5E" w14:textId="77777777" w:rsidTr="009C4A2E">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224982BF" w14:textId="642FE4EB" w:rsidR="009C4A2E" w:rsidRPr="00B43A8D" w:rsidRDefault="009C4A2E" w:rsidP="009C4A2E">
            <w:pPr>
              <w:pStyle w:val="TableText-Left"/>
              <w:spacing w:line="276" w:lineRule="auto"/>
              <w:jc w:val="center"/>
              <w:rPr>
                <w:rFonts w:ascii="Lato" w:hAnsi="Lato"/>
                <w:color w:val="auto"/>
              </w:rPr>
            </w:pPr>
            <w:r w:rsidRPr="00B56577">
              <w:rPr>
                <w:rFonts w:ascii="Lato" w:hAnsi="Lato"/>
              </w:rPr>
              <w:lastRenderedPageBreak/>
              <w:t>Numb</w:t>
            </w:r>
            <w:r>
              <w:rPr>
                <w:rFonts w:ascii="Lato" w:hAnsi="Lato"/>
              </w:rPr>
              <w:t>er</w:t>
            </w:r>
          </w:p>
        </w:tc>
        <w:tc>
          <w:tcPr>
            <w:tcW w:w="3571" w:type="pct"/>
            <w:vAlign w:val="top"/>
          </w:tcPr>
          <w:p w14:paraId="79299686" w14:textId="3F3897B4" w:rsidR="009C4A2E" w:rsidRPr="00DE5A35"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B809B46" w14:textId="7920A815" w:rsidR="009C4A2E" w:rsidRPr="00B56577"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9C4A2E" w:rsidRPr="00B56577" w14:paraId="6C89B8D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ABA427C" w14:textId="640CC703" w:rsidR="009C4A2E" w:rsidRPr="00B43A8D" w:rsidRDefault="009C4A2E" w:rsidP="009C4A2E">
            <w:pPr>
              <w:pStyle w:val="TableText-Left"/>
              <w:spacing w:line="276" w:lineRule="auto"/>
              <w:jc w:val="center"/>
              <w:rPr>
                <w:rFonts w:ascii="Lato" w:hAnsi="Lato"/>
              </w:rPr>
            </w:pPr>
            <w:r w:rsidRPr="00B43A8D">
              <w:rPr>
                <w:rFonts w:ascii="Lato" w:hAnsi="Lato"/>
                <w:color w:val="auto"/>
              </w:rPr>
              <w:t>Q19</w:t>
            </w:r>
          </w:p>
        </w:tc>
        <w:tc>
          <w:tcPr>
            <w:tcW w:w="3571" w:type="pct"/>
            <w:vAlign w:val="center"/>
          </w:tcPr>
          <w:p w14:paraId="369570C1" w14:textId="593B9A7A" w:rsidR="009C4A2E" w:rsidRPr="00B43A8D"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In your view, how should DCC design bands of fixed charges and should they be the same across all User Categories? You can refer to any of the stylised examples described above to answer this question or propose alternative approaches that you would like DCC to consider.</w:t>
            </w:r>
          </w:p>
        </w:tc>
        <w:tc>
          <w:tcPr>
            <w:tcW w:w="1063" w:type="pct"/>
            <w:vAlign w:val="center"/>
          </w:tcPr>
          <w:p w14:paraId="030DE193" w14:textId="77777777" w:rsidR="009C4A2E" w:rsidRDefault="00180AD2"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Pr>
                <w:rFonts w:ascii="Lato" w:hAnsi="Lato"/>
                <w:color w:val="FF0000"/>
              </w:rPr>
              <w:t xml:space="preserve">Insufficient data has been presented to determine the value or impact of options 2-5. Insufficient effort has been invested to understand the nature of the existing traffic and the most appropriate mechanisms (such as collective network optimisation and management) prior to proposing a variety of charging solutions. At present the DCC are presenting solutions to a ‘simple’ problem of increase traffic = increase cost where little effort has been invested in wholistic system optimisation which has the potential to significantly reduce costs for all users (and all energy consumers). We strongly suggest a wholistic network optimisation strategy is considered (with DCC </w:t>
            </w:r>
            <w:r>
              <w:rPr>
                <w:rFonts w:ascii="Lato" w:hAnsi="Lato"/>
                <w:color w:val="FF0000"/>
              </w:rPr>
              <w:lastRenderedPageBreak/>
              <w:t>Users) to better manage the wholistic costs of the DCC.</w:t>
            </w:r>
          </w:p>
          <w:p w14:paraId="23425AB7" w14:textId="77777777" w:rsidR="00180AD2" w:rsidRDefault="00180AD2"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2D19E4C2" w14:textId="77777777" w:rsidR="00180AD2" w:rsidRDefault="00180AD2"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180AD2">
              <w:rPr>
                <w:rFonts w:ascii="Lato" w:hAnsi="Lato"/>
                <w:color w:val="FF0000"/>
              </w:rPr>
              <w:t xml:space="preserve">The lack of transparency in the consultation also seems to indicates a possible disconnect between originally contracted volume profiles (ISFT) and current commercial arrangements with DCC and her Service Providers. </w:t>
            </w:r>
          </w:p>
          <w:p w14:paraId="50AB4725" w14:textId="77777777" w:rsidR="008E26F3" w:rsidRDefault="008E26F3"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p>
          <w:p w14:paraId="1E137C06" w14:textId="789FE3A1" w:rsidR="008E26F3" w:rsidRPr="00B56577" w:rsidRDefault="008E26F3"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color w:val="FF0000"/>
              </w:rPr>
              <w:t xml:space="preserve">Furthermore, the “switching use case” would potentially be significant and unproportionally impacted by this approach (were a series of </w:t>
            </w:r>
            <w:r w:rsidR="00154DE4">
              <w:rPr>
                <w:rFonts w:ascii="Lato" w:hAnsi="Lato"/>
                <w:color w:val="FF0000"/>
              </w:rPr>
              <w:t>one-off</w:t>
            </w:r>
            <w:r>
              <w:rPr>
                <w:rFonts w:ascii="Lato" w:hAnsi="Lato"/>
                <w:color w:val="FF0000"/>
              </w:rPr>
              <w:t xml:space="preserve"> dynamic requests being sent to a meter to retrieve a year of historic consumption data which is then used to assist a consumer switching journey). </w:t>
            </w:r>
          </w:p>
        </w:tc>
      </w:tr>
      <w:tr w:rsidR="009C4A2E" w:rsidRPr="00B56577" w14:paraId="322679E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75B3E58" w14:textId="3C17AC8F"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lastRenderedPageBreak/>
              <w:t>Q20</w:t>
            </w:r>
          </w:p>
        </w:tc>
        <w:tc>
          <w:tcPr>
            <w:tcW w:w="3571" w:type="pct"/>
            <w:vAlign w:val="center"/>
          </w:tcPr>
          <w:p w14:paraId="0273B44D" w14:textId="580503D6"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 xml:space="preserve">What would be a reasonable number of bands to set charges (at least initially)? </w:t>
            </w:r>
          </w:p>
        </w:tc>
        <w:tc>
          <w:tcPr>
            <w:tcW w:w="1063" w:type="pct"/>
            <w:vAlign w:val="center"/>
          </w:tcPr>
          <w:p w14:paraId="2BD8AB0A" w14:textId="0A5F3776" w:rsidR="009C4A2E" w:rsidRPr="00B56577" w:rsidRDefault="00180AD2"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54DE4">
              <w:rPr>
                <w:rFonts w:ascii="Lato" w:hAnsi="Lato"/>
                <w:color w:val="FF0000"/>
              </w:rPr>
              <w:t>N/A</w:t>
            </w:r>
          </w:p>
        </w:tc>
      </w:tr>
      <w:tr w:rsidR="009C4A2E" w:rsidRPr="00B56577" w14:paraId="1F6A6E2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2C79ED7" w14:textId="146C288A"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t>Q21</w:t>
            </w:r>
          </w:p>
        </w:tc>
        <w:tc>
          <w:tcPr>
            <w:tcW w:w="3571" w:type="pct"/>
            <w:vAlign w:val="center"/>
          </w:tcPr>
          <w:p w14:paraId="3F2541D2" w14:textId="537103A1"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How should the differential of charges between bands be determined?</w:t>
            </w:r>
          </w:p>
        </w:tc>
        <w:tc>
          <w:tcPr>
            <w:tcW w:w="1063" w:type="pct"/>
            <w:vAlign w:val="center"/>
          </w:tcPr>
          <w:p w14:paraId="135ADA03" w14:textId="3FF1DAAF" w:rsidR="009C4A2E" w:rsidRPr="00B56577" w:rsidRDefault="00180AD2"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54DE4">
              <w:rPr>
                <w:rFonts w:ascii="Lato" w:hAnsi="Lato"/>
                <w:color w:val="FF0000"/>
              </w:rPr>
              <w:t>N/A</w:t>
            </w:r>
          </w:p>
        </w:tc>
      </w:tr>
    </w:tbl>
    <w:p w14:paraId="22E33468" w14:textId="77777777" w:rsidR="00675CD5" w:rsidRDefault="00675CD5"/>
    <w:p w14:paraId="49AA92D4" w14:textId="009A4BC4" w:rsidR="00675CD5" w:rsidRPr="00675CD5" w:rsidRDefault="00675CD5" w:rsidP="00675CD5">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3</w:t>
      </w:r>
    </w:p>
    <w:tbl>
      <w:tblPr>
        <w:tblStyle w:val="TableTemplate1"/>
        <w:tblW w:w="5000" w:type="pct"/>
        <w:tblLook w:val="04A0" w:firstRow="1" w:lastRow="0" w:firstColumn="1" w:lastColumn="0" w:noHBand="0" w:noVBand="1"/>
      </w:tblPr>
      <w:tblGrid>
        <w:gridCol w:w="1020"/>
        <w:gridCol w:w="9955"/>
        <w:gridCol w:w="2963"/>
      </w:tblGrid>
      <w:tr w:rsidR="00675CD5" w:rsidRPr="00B56577" w14:paraId="4D357FAC" w14:textId="77777777" w:rsidTr="00675CD5">
        <w:trPr>
          <w:cnfStyle w:val="100000000000" w:firstRow="1" w:lastRow="0" w:firstColumn="0" w:lastColumn="0" w:oddVBand="0" w:evenVBand="0" w:oddHBand="0" w:evenHBand="0" w:firstRowFirstColumn="0" w:firstRowLastColumn="0" w:lastRowFirstColumn="0" w:lastRowLastColumn="0"/>
          <w:trHeight w:val="171"/>
        </w:trPr>
        <w:tc>
          <w:tcPr>
            <w:cnfStyle w:val="001000000000" w:firstRow="0" w:lastRow="0" w:firstColumn="1" w:lastColumn="0" w:oddVBand="0" w:evenVBand="0" w:oddHBand="0" w:evenHBand="0" w:firstRowFirstColumn="0" w:firstRowLastColumn="0" w:lastRowFirstColumn="0" w:lastRowLastColumn="0"/>
            <w:tcW w:w="366" w:type="pct"/>
            <w:vAlign w:val="top"/>
          </w:tcPr>
          <w:p w14:paraId="71211753" w14:textId="40305245" w:rsidR="00675CD5" w:rsidRPr="00A85762" w:rsidRDefault="00675CD5" w:rsidP="00675CD5">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1D88C8E2" w14:textId="25449BCC" w:rsidR="00675CD5" w:rsidRPr="00B43A8D"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238F5826" w14:textId="5419B6C0" w:rsidR="00675CD5" w:rsidRPr="00B56577"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675CD5" w:rsidRPr="00B56577" w14:paraId="1732DA61"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7C0763D" w14:textId="19FDD6B9" w:rsidR="00675CD5" w:rsidRPr="00A85762" w:rsidRDefault="00675CD5" w:rsidP="00675CD5">
            <w:pPr>
              <w:pStyle w:val="TableText-Left"/>
              <w:spacing w:line="276" w:lineRule="auto"/>
              <w:jc w:val="center"/>
              <w:rPr>
                <w:rFonts w:ascii="Lato" w:hAnsi="Lato"/>
              </w:rPr>
            </w:pPr>
            <w:r w:rsidRPr="00A85762">
              <w:rPr>
                <w:rFonts w:ascii="Lato" w:hAnsi="Lato"/>
                <w:color w:val="auto"/>
              </w:rPr>
              <w:t>Q22</w:t>
            </w:r>
          </w:p>
        </w:tc>
        <w:tc>
          <w:tcPr>
            <w:tcW w:w="3571" w:type="pct"/>
            <w:vAlign w:val="center"/>
          </w:tcPr>
          <w:p w14:paraId="6D84E49D" w14:textId="3A233699" w:rsidR="00675CD5" w:rsidRPr="00A85762"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 xml:space="preserve">Do you agree with our initial assessment </w:t>
            </w:r>
            <w:r w:rsidRPr="00FB6C2F">
              <w:rPr>
                <w:rFonts w:ascii="Lato" w:hAnsi="Lato"/>
              </w:rPr>
              <w:t xml:space="preserve">of the impact of </w:t>
            </w:r>
            <w:r w:rsidRPr="00A85762">
              <w:rPr>
                <w:rFonts w:ascii="Lato" w:hAnsi="Lato"/>
              </w:rPr>
              <w:t>charging option</w:t>
            </w:r>
            <w:r>
              <w:rPr>
                <w:rFonts w:ascii="Lato" w:hAnsi="Lato"/>
              </w:rPr>
              <w:t xml:space="preserve"> 3</w:t>
            </w:r>
            <w:r w:rsidRPr="00A85762">
              <w:rPr>
                <w:rFonts w:ascii="Lato" w:hAnsi="Lato"/>
              </w:rPr>
              <w:t xml:space="preserve">? </w:t>
            </w:r>
          </w:p>
        </w:tc>
        <w:tc>
          <w:tcPr>
            <w:tcW w:w="1063" w:type="pct"/>
            <w:vAlign w:val="center"/>
          </w:tcPr>
          <w:p w14:paraId="1E434ECD" w14:textId="092AC98B" w:rsidR="00675CD5" w:rsidRPr="00B56577" w:rsidRDefault="00180AD2"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54DE4">
              <w:rPr>
                <w:rFonts w:ascii="Lato" w:hAnsi="Lato"/>
                <w:color w:val="FF0000"/>
              </w:rPr>
              <w:t>No</w:t>
            </w:r>
          </w:p>
        </w:tc>
      </w:tr>
      <w:tr w:rsidR="00675CD5" w:rsidRPr="00B56577" w14:paraId="29DD53E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FBF0CE5" w14:textId="0E276330"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lastRenderedPageBreak/>
              <w:t>Q23</w:t>
            </w:r>
          </w:p>
        </w:tc>
        <w:tc>
          <w:tcPr>
            <w:tcW w:w="3571" w:type="pct"/>
            <w:vAlign w:val="center"/>
          </w:tcPr>
          <w:p w14:paraId="7F5E6BD4" w14:textId="0D877E17" w:rsidR="00675CD5" w:rsidRPr="00B43A8D"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Are there any other impacts or design considerations that should be captured</w:t>
            </w:r>
            <w:r>
              <w:rPr>
                <w:rFonts w:ascii="Lato" w:hAnsi="Lato"/>
              </w:rPr>
              <w:t xml:space="preserve"> under charging option 3</w:t>
            </w:r>
            <w:r w:rsidRPr="00A85762">
              <w:rPr>
                <w:rFonts w:ascii="Lato" w:hAnsi="Lato"/>
              </w:rPr>
              <w:t>?</w:t>
            </w:r>
          </w:p>
        </w:tc>
        <w:tc>
          <w:tcPr>
            <w:tcW w:w="1063" w:type="pct"/>
            <w:vAlign w:val="center"/>
          </w:tcPr>
          <w:p w14:paraId="645B9E86" w14:textId="5DD3903D" w:rsidR="00675CD5" w:rsidRPr="00B56577" w:rsidRDefault="008E26F3"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8E26F3">
              <w:rPr>
                <w:rFonts w:ascii="Lato" w:hAnsi="Lato"/>
                <w:color w:val="FF0000"/>
              </w:rPr>
              <w:t>Many users of the DCC service work through intermediaries to access smart meter data as the barriers to becoming a direct DCC user are significant. The banding proposed in 3 would likely penalise all indirect users (large and small).</w:t>
            </w:r>
          </w:p>
        </w:tc>
      </w:tr>
      <w:tr w:rsidR="00675CD5" w:rsidRPr="00B56577" w14:paraId="24D81258"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B334419" w14:textId="222B569D"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lastRenderedPageBreak/>
              <w:t>Q24</w:t>
            </w:r>
          </w:p>
        </w:tc>
        <w:tc>
          <w:tcPr>
            <w:tcW w:w="3571" w:type="pct"/>
            <w:vAlign w:val="center"/>
          </w:tcPr>
          <w:p w14:paraId="18C82EA7" w14:textId="2C3C9003" w:rsidR="00675CD5" w:rsidRPr="00B43A8D" w:rsidRDefault="009616E1"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9616E1">
              <w:rPr>
                <w:rFonts w:ascii="Lato" w:hAnsi="Lato"/>
              </w:rPr>
              <w:t>Do you have any comments on the costs your organisation may incur in implementing charging option 3</w:t>
            </w:r>
            <w:r w:rsidR="00675CD5" w:rsidRPr="00A85762">
              <w:rPr>
                <w:rFonts w:ascii="Lato" w:hAnsi="Lato"/>
              </w:rPr>
              <w:t xml:space="preserve">? </w:t>
            </w:r>
          </w:p>
        </w:tc>
        <w:tc>
          <w:tcPr>
            <w:tcW w:w="1063" w:type="pct"/>
            <w:vAlign w:val="center"/>
          </w:tcPr>
          <w:p w14:paraId="53AC5F1D" w14:textId="77777777" w:rsidR="008E26F3" w:rsidRPr="00A92DD8" w:rsidRDefault="008E26F3" w:rsidP="008E26F3">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implementation</w:t>
            </w:r>
          </w:p>
          <w:p w14:paraId="16C9C21D" w14:textId="23074326" w:rsidR="008E26F3" w:rsidRPr="00A92DD8" w:rsidRDefault="008E26F3" w:rsidP="008E26F3">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billing</w:t>
            </w:r>
            <w:r>
              <w:rPr>
                <w:rFonts w:ascii="Lato" w:hAnsi="Lato"/>
                <w:color w:val="FF0000"/>
              </w:rPr>
              <w:t xml:space="preserve"> / cost recovery</w:t>
            </w:r>
          </w:p>
          <w:p w14:paraId="55289F8F" w14:textId="77777777" w:rsidR="008E26F3" w:rsidRPr="00A92DD8" w:rsidRDefault="008E26F3" w:rsidP="008E26F3">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reconciliation</w:t>
            </w:r>
          </w:p>
          <w:p w14:paraId="127E26AA" w14:textId="77777777" w:rsidR="008E26F3" w:rsidRPr="00A92DD8" w:rsidRDefault="008E26F3" w:rsidP="008E26F3">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message errors and failure management</w:t>
            </w:r>
          </w:p>
          <w:p w14:paraId="0AF4D6AA" w14:textId="77777777" w:rsidR="008E26F3" w:rsidRDefault="008E26F3" w:rsidP="008E26F3">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failures of meter compliance.</w:t>
            </w:r>
          </w:p>
          <w:p w14:paraId="2BF2AAE8" w14:textId="77777777" w:rsidR="00675CD5" w:rsidRDefault="008E26F3" w:rsidP="008E26F3">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8E26F3">
              <w:rPr>
                <w:rFonts w:ascii="Lato" w:hAnsi="Lato"/>
                <w:color w:val="FF0000"/>
              </w:rPr>
              <w:t>Cost of billing disputes</w:t>
            </w:r>
          </w:p>
          <w:p w14:paraId="3CC52966" w14:textId="77777777" w:rsidR="008E26F3" w:rsidRDefault="008E26F3" w:rsidP="008E26F3">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Pr>
                <w:rFonts w:ascii="Lato" w:hAnsi="Lato"/>
                <w:color w:val="FF0000"/>
              </w:rPr>
              <w:t>Cost of legal</w:t>
            </w:r>
          </w:p>
          <w:p w14:paraId="68B04072" w14:textId="77777777" w:rsidR="00974798" w:rsidRDefault="00974798" w:rsidP="009747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Pr>
                <w:rFonts w:ascii="Lato" w:hAnsi="Lato"/>
                <w:color w:val="FF0000"/>
              </w:rPr>
              <w:t>Customer charges would likely increase between x</w:t>
            </w:r>
            <w:r w:rsidR="00657DAE">
              <w:rPr>
                <w:rFonts w:ascii="Lato" w:hAnsi="Lato"/>
                <w:color w:val="FF0000"/>
              </w:rPr>
              <w:t>2</w:t>
            </w:r>
            <w:r>
              <w:rPr>
                <w:rFonts w:ascii="Lato" w:hAnsi="Lato"/>
                <w:color w:val="FF0000"/>
              </w:rPr>
              <w:t xml:space="preserve"> and x</w:t>
            </w:r>
            <w:r w:rsidR="00657DAE">
              <w:rPr>
                <w:rFonts w:ascii="Lato" w:hAnsi="Lato"/>
                <w:color w:val="FF0000"/>
              </w:rPr>
              <w:t>5</w:t>
            </w:r>
            <w:r>
              <w:rPr>
                <w:rFonts w:ascii="Lato" w:hAnsi="Lato"/>
                <w:color w:val="FF0000"/>
              </w:rPr>
              <w:t xml:space="preserve"> which </w:t>
            </w:r>
            <w:r w:rsidR="00657DAE">
              <w:rPr>
                <w:rFonts w:ascii="Lato" w:hAnsi="Lato"/>
                <w:color w:val="FF0000"/>
              </w:rPr>
              <w:t>will significantly impact users business model and likely discourage participation.</w:t>
            </w:r>
          </w:p>
          <w:p w14:paraId="7C796F96" w14:textId="77777777" w:rsidR="00FA4AED" w:rsidRDefault="00FA4AED" w:rsidP="009747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p>
          <w:p w14:paraId="462454EC" w14:textId="158DB8D0" w:rsidR="008B1D4F" w:rsidRPr="008B1D4F" w:rsidRDefault="00FA4AED" w:rsidP="008B1D4F">
            <w:pPr>
              <w:cnfStyle w:val="000000000000" w:firstRow="0" w:lastRow="0" w:firstColumn="0" w:lastColumn="0" w:oddVBand="0" w:evenVBand="0" w:oddHBand="0" w:evenHBand="0" w:firstRowFirstColumn="0" w:firstRowLastColumn="0" w:lastRowFirstColumn="0" w:lastRowLastColumn="0"/>
              <w:rPr>
                <w:rFonts w:ascii="Lato" w:eastAsia="Times New Roman" w:hAnsi="Lato"/>
                <w:color w:val="FF0000"/>
              </w:rPr>
            </w:pPr>
            <w:proofErr w:type="spellStart"/>
            <w:r>
              <w:rPr>
                <w:rFonts w:ascii="Lato" w:hAnsi="Lato"/>
                <w:color w:val="FF0000"/>
              </w:rPr>
              <w:t>Fu</w:t>
            </w:r>
            <w:r w:rsidR="008B1D4F">
              <w:rPr>
                <w:rFonts w:ascii="Lato" w:hAnsi="Lato"/>
                <w:color w:val="FF0000"/>
              </w:rPr>
              <w:t>r</w:t>
            </w:r>
            <w:r>
              <w:rPr>
                <w:rFonts w:ascii="Lato" w:hAnsi="Lato"/>
                <w:color w:val="FF0000"/>
              </w:rPr>
              <w:t>ther more</w:t>
            </w:r>
            <w:proofErr w:type="spellEnd"/>
            <w:r w:rsidR="008B1D4F">
              <w:rPr>
                <w:rFonts w:ascii="Lato" w:hAnsi="Lato"/>
                <w:color w:val="FF0000"/>
              </w:rPr>
              <w:t xml:space="preserve">, </w:t>
            </w:r>
            <w:r w:rsidR="008B1D4F" w:rsidRPr="008B1D4F">
              <w:rPr>
                <w:rFonts w:ascii="Lato" w:eastAsia="Times New Roman" w:hAnsi="Lato"/>
                <w:color w:val="FF0000"/>
              </w:rPr>
              <w:t xml:space="preserve">If costs to access energy data goes up, the marketplace would find another way, or even worse Energy Transition options </w:t>
            </w:r>
            <w:r w:rsidR="008B1D4F" w:rsidRPr="008B1D4F">
              <w:rPr>
                <w:rFonts w:ascii="Lato" w:eastAsia="Times New Roman" w:hAnsi="Lato"/>
                <w:color w:val="FF0000"/>
              </w:rPr>
              <w:lastRenderedPageBreak/>
              <w:t>would become less accurate.</w:t>
            </w:r>
          </w:p>
          <w:p w14:paraId="52B27FA7" w14:textId="7ADAAB89" w:rsidR="00FA4AED" w:rsidRPr="008E26F3" w:rsidRDefault="00FA4AED" w:rsidP="009747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p>
        </w:tc>
      </w:tr>
    </w:tbl>
    <w:p w14:paraId="035D93B0" w14:textId="77777777" w:rsidR="00D7442C" w:rsidRDefault="00D7442C"/>
    <w:p w14:paraId="1E95738E" w14:textId="1A2D2D1E" w:rsidR="00D7442C" w:rsidRPr="008678B6" w:rsidRDefault="008678B6" w:rsidP="008678B6">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4</w:t>
      </w:r>
    </w:p>
    <w:tbl>
      <w:tblPr>
        <w:tblStyle w:val="TableTemplate1"/>
        <w:tblW w:w="5000" w:type="pct"/>
        <w:tblLook w:val="04A0" w:firstRow="1" w:lastRow="0" w:firstColumn="1" w:lastColumn="0" w:noHBand="0" w:noVBand="1"/>
      </w:tblPr>
      <w:tblGrid>
        <w:gridCol w:w="1020"/>
        <w:gridCol w:w="9955"/>
        <w:gridCol w:w="2963"/>
      </w:tblGrid>
      <w:tr w:rsidR="00D7442C" w:rsidRPr="00B56577" w14:paraId="0237AD25" w14:textId="77777777" w:rsidTr="00D7442C">
        <w:trPr>
          <w:cnfStyle w:val="100000000000" w:firstRow="1" w:lastRow="0" w:firstColumn="0" w:lastColumn="0" w:oddVBand="0" w:evenVBand="0" w:oddHBand="0" w:evenHBand="0" w:firstRowFirstColumn="0" w:firstRowLastColumn="0" w:lastRowFirstColumn="0" w:lastRowLastColumn="0"/>
          <w:trHeight w:val="122"/>
        </w:trPr>
        <w:tc>
          <w:tcPr>
            <w:cnfStyle w:val="001000000000" w:firstRow="0" w:lastRow="0" w:firstColumn="1" w:lastColumn="0" w:oddVBand="0" w:evenVBand="0" w:oddHBand="0" w:evenHBand="0" w:firstRowFirstColumn="0" w:firstRowLastColumn="0" w:lastRowFirstColumn="0" w:lastRowLastColumn="0"/>
            <w:tcW w:w="366" w:type="pct"/>
            <w:vAlign w:val="top"/>
          </w:tcPr>
          <w:p w14:paraId="6D8C411C" w14:textId="16EEAB65" w:rsidR="00D7442C" w:rsidRPr="00CA1679" w:rsidRDefault="00D7442C" w:rsidP="00D7442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38AABD8B" w14:textId="5D320BCB" w:rsidR="00D7442C" w:rsidRPr="00A85762"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09364668" w14:textId="63FB5D3C" w:rsidR="00D7442C" w:rsidRPr="00B56577"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D7442C" w:rsidRPr="00B56577" w14:paraId="2E7FCD4F"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C806B98" w14:textId="0E2212E0" w:rsidR="00D7442C" w:rsidRPr="00CA1679" w:rsidRDefault="00D7442C" w:rsidP="00D7442C">
            <w:pPr>
              <w:pStyle w:val="TableText-Left"/>
              <w:spacing w:line="276" w:lineRule="auto"/>
              <w:jc w:val="center"/>
              <w:rPr>
                <w:rFonts w:ascii="Lato" w:hAnsi="Lato"/>
              </w:rPr>
            </w:pPr>
            <w:r w:rsidRPr="00CA1679">
              <w:rPr>
                <w:rFonts w:ascii="Lato" w:hAnsi="Lato"/>
                <w:color w:val="auto"/>
              </w:rPr>
              <w:t>Q25</w:t>
            </w:r>
          </w:p>
        </w:tc>
        <w:tc>
          <w:tcPr>
            <w:tcW w:w="3571" w:type="pct"/>
            <w:vAlign w:val="center"/>
          </w:tcPr>
          <w:p w14:paraId="45AC9BB5" w14:textId="4C3ACF86" w:rsidR="00D7442C" w:rsidRPr="00FB6C2F"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Do you agree with our initial assessment of the impact of charging option</w:t>
            </w:r>
            <w:r>
              <w:rPr>
                <w:rFonts w:ascii="Lato" w:hAnsi="Lato"/>
              </w:rPr>
              <w:t xml:space="preserve"> 4</w:t>
            </w:r>
            <w:r w:rsidRPr="00FB6C2F">
              <w:rPr>
                <w:rFonts w:ascii="Lato" w:hAnsi="Lato"/>
              </w:rPr>
              <w:t xml:space="preserve">? </w:t>
            </w:r>
          </w:p>
        </w:tc>
        <w:tc>
          <w:tcPr>
            <w:tcW w:w="1063" w:type="pct"/>
            <w:vAlign w:val="center"/>
          </w:tcPr>
          <w:p w14:paraId="09DE4167" w14:textId="02CAB01D" w:rsidR="00D7442C" w:rsidRPr="00B56577" w:rsidRDefault="008E26F3"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57DAE">
              <w:rPr>
                <w:rFonts w:ascii="Lato" w:hAnsi="Lato"/>
                <w:color w:val="FF0000"/>
              </w:rPr>
              <w:t xml:space="preserve">No, this seems to offer the worse of all options. </w:t>
            </w:r>
          </w:p>
        </w:tc>
      </w:tr>
      <w:tr w:rsidR="00D7442C" w:rsidRPr="00B56577" w14:paraId="460C186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62651D4" w14:textId="02066718"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Q26</w:t>
            </w:r>
          </w:p>
        </w:tc>
        <w:tc>
          <w:tcPr>
            <w:tcW w:w="3571" w:type="pct"/>
            <w:vAlign w:val="center"/>
          </w:tcPr>
          <w:p w14:paraId="371E37D7" w14:textId="423D9669"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 xml:space="preserve">What type of costs do you think should be recovered through the standing charge? </w:t>
            </w:r>
          </w:p>
        </w:tc>
        <w:tc>
          <w:tcPr>
            <w:tcW w:w="1063" w:type="pct"/>
            <w:vAlign w:val="center"/>
          </w:tcPr>
          <w:p w14:paraId="1D50F678" w14:textId="6E12F58A" w:rsidR="00D7442C" w:rsidRPr="00B56577" w:rsidRDefault="008E26F3"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57DAE">
              <w:rPr>
                <w:rFonts w:ascii="Lato" w:hAnsi="Lato"/>
                <w:color w:val="FF0000"/>
              </w:rPr>
              <w:t>N/A</w:t>
            </w:r>
          </w:p>
        </w:tc>
      </w:tr>
      <w:tr w:rsidR="00D7442C" w:rsidRPr="00B56577" w14:paraId="3E1A0AB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BC81BD5" w14:textId="689B095F"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Q27</w:t>
            </w:r>
          </w:p>
        </w:tc>
        <w:tc>
          <w:tcPr>
            <w:tcW w:w="3571" w:type="pct"/>
            <w:vAlign w:val="center"/>
          </w:tcPr>
          <w:p w14:paraId="16E07CFE" w14:textId="110E2670"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Are there any other impacts or design considerations that should be captured</w:t>
            </w:r>
            <w:r>
              <w:rPr>
                <w:rFonts w:ascii="Lato" w:hAnsi="Lato"/>
              </w:rPr>
              <w:t xml:space="preserve"> under charging option 4</w:t>
            </w:r>
            <w:r w:rsidRPr="00FB6C2F">
              <w:rPr>
                <w:rFonts w:ascii="Lato" w:hAnsi="Lato"/>
              </w:rPr>
              <w:t>?</w:t>
            </w:r>
          </w:p>
        </w:tc>
        <w:tc>
          <w:tcPr>
            <w:tcW w:w="1063" w:type="pct"/>
            <w:vAlign w:val="center"/>
          </w:tcPr>
          <w:p w14:paraId="3D27E21B" w14:textId="2D86AEAB" w:rsidR="00D7442C" w:rsidRPr="00B56577" w:rsidRDefault="008E26F3"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57DAE">
              <w:rPr>
                <w:rFonts w:ascii="Lato" w:hAnsi="Lato"/>
                <w:color w:val="FF0000"/>
              </w:rPr>
              <w:t>N/A</w:t>
            </w:r>
          </w:p>
        </w:tc>
      </w:tr>
      <w:tr w:rsidR="00D7442C" w:rsidRPr="00B56577" w14:paraId="186CC79A"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38E3934" w14:textId="54B73F7B"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lastRenderedPageBreak/>
              <w:t>Q28</w:t>
            </w:r>
          </w:p>
        </w:tc>
        <w:tc>
          <w:tcPr>
            <w:tcW w:w="3571" w:type="pct"/>
            <w:vAlign w:val="center"/>
          </w:tcPr>
          <w:p w14:paraId="72354C17" w14:textId="74166B17" w:rsidR="00D7442C" w:rsidRPr="00A85762" w:rsidRDefault="00A541E1"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541E1">
              <w:rPr>
                <w:rFonts w:ascii="Lato" w:hAnsi="Lato"/>
              </w:rPr>
              <w:t xml:space="preserve">Do you have any comments on the costs your organisation may incur in implementing charging option </w:t>
            </w:r>
            <w:r>
              <w:rPr>
                <w:rFonts w:ascii="Lato" w:hAnsi="Lato"/>
              </w:rPr>
              <w:t>4</w:t>
            </w:r>
            <w:r w:rsidR="00D7442C" w:rsidRPr="00FB6C2F">
              <w:rPr>
                <w:rFonts w:ascii="Lato" w:hAnsi="Lato"/>
              </w:rPr>
              <w:t>?</w:t>
            </w:r>
          </w:p>
        </w:tc>
        <w:tc>
          <w:tcPr>
            <w:tcW w:w="1063" w:type="pct"/>
            <w:vAlign w:val="center"/>
          </w:tcPr>
          <w:p w14:paraId="57FDA542" w14:textId="77777777" w:rsidR="00657DAE" w:rsidRPr="00A92DD8" w:rsidRDefault="00657DAE" w:rsidP="00657DA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implementation</w:t>
            </w:r>
          </w:p>
          <w:p w14:paraId="38B9A6E0" w14:textId="77777777" w:rsidR="00657DAE" w:rsidRPr="00A92DD8" w:rsidRDefault="00657DAE" w:rsidP="00657DA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billing</w:t>
            </w:r>
            <w:r>
              <w:rPr>
                <w:rFonts w:ascii="Lato" w:hAnsi="Lato"/>
                <w:color w:val="FF0000"/>
              </w:rPr>
              <w:t xml:space="preserve"> / cost recovery</w:t>
            </w:r>
          </w:p>
          <w:p w14:paraId="4543A74E" w14:textId="77777777" w:rsidR="00657DAE" w:rsidRPr="00A92DD8" w:rsidRDefault="00657DAE" w:rsidP="00657DA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reconciliation</w:t>
            </w:r>
          </w:p>
          <w:p w14:paraId="4F764390" w14:textId="77777777" w:rsidR="00657DAE" w:rsidRPr="00A92DD8" w:rsidRDefault="00657DAE" w:rsidP="00657DA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message errors and failure management</w:t>
            </w:r>
          </w:p>
          <w:p w14:paraId="070AB831" w14:textId="77777777" w:rsidR="00657DAE" w:rsidRDefault="00657DAE" w:rsidP="00657DA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A92DD8">
              <w:rPr>
                <w:rFonts w:ascii="Lato" w:hAnsi="Lato"/>
                <w:color w:val="FF0000"/>
              </w:rPr>
              <w:t>Cost of failures of meter compliance.</w:t>
            </w:r>
          </w:p>
          <w:p w14:paraId="4148F137" w14:textId="77777777" w:rsidR="00657DAE" w:rsidRDefault="00657DAE" w:rsidP="00657DA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sidRPr="008E26F3">
              <w:rPr>
                <w:rFonts w:ascii="Lato" w:hAnsi="Lato"/>
                <w:color w:val="FF0000"/>
              </w:rPr>
              <w:t>Cost of billing disputes</w:t>
            </w:r>
          </w:p>
          <w:p w14:paraId="265A9469" w14:textId="77777777" w:rsidR="00657DAE" w:rsidRDefault="00657DAE" w:rsidP="00657DAE">
            <w:pPr>
              <w:pStyle w:val="TableText-Left"/>
              <w:numPr>
                <w:ilvl w:val="0"/>
                <w:numId w:val="39"/>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Pr>
                <w:rFonts w:ascii="Lato" w:hAnsi="Lato"/>
                <w:color w:val="FF0000"/>
              </w:rPr>
              <w:t>Cost of legal</w:t>
            </w:r>
          </w:p>
          <w:p w14:paraId="5585428A" w14:textId="4CF58214" w:rsidR="00657DAE" w:rsidRDefault="00657DAE" w:rsidP="00657DA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Pr>
                <w:rFonts w:ascii="Lato" w:hAnsi="Lato"/>
                <w:color w:val="FF0000"/>
              </w:rPr>
              <w:t>Customer charges would likely increase between x</w:t>
            </w:r>
            <w:r w:rsidR="00154DE4">
              <w:rPr>
                <w:rFonts w:ascii="Lato" w:hAnsi="Lato"/>
                <w:color w:val="FF0000"/>
              </w:rPr>
              <w:t>3</w:t>
            </w:r>
            <w:r>
              <w:rPr>
                <w:rFonts w:ascii="Lato" w:hAnsi="Lato"/>
                <w:color w:val="FF0000"/>
              </w:rPr>
              <w:t xml:space="preserve"> and x</w:t>
            </w:r>
            <w:r w:rsidR="00154DE4">
              <w:rPr>
                <w:rFonts w:ascii="Lato" w:hAnsi="Lato"/>
                <w:color w:val="FF0000"/>
              </w:rPr>
              <w:t xml:space="preserve">7 </w:t>
            </w:r>
            <w:r>
              <w:rPr>
                <w:rFonts w:ascii="Lato" w:hAnsi="Lato"/>
                <w:color w:val="FF0000"/>
              </w:rPr>
              <w:t>which will significantly impact users business model and likely discourage participation.</w:t>
            </w:r>
          </w:p>
          <w:p w14:paraId="6F193AF8" w14:textId="77777777" w:rsidR="001A3B9C" w:rsidRDefault="001A3B9C" w:rsidP="00657DA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F00036E" w14:textId="0E90422B" w:rsidR="001A3B9C" w:rsidRPr="00B56577" w:rsidRDefault="001A3B9C" w:rsidP="00657DA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roofErr w:type="spellStart"/>
            <w:r>
              <w:rPr>
                <w:rFonts w:ascii="Lato" w:hAnsi="Lato"/>
                <w:color w:val="FF0000"/>
              </w:rPr>
              <w:t>Further more</w:t>
            </w:r>
            <w:proofErr w:type="spellEnd"/>
            <w:r>
              <w:rPr>
                <w:rFonts w:ascii="Lato" w:hAnsi="Lato"/>
                <w:color w:val="FF0000"/>
              </w:rPr>
              <w:t xml:space="preserve">, </w:t>
            </w:r>
            <w:r w:rsidRPr="008B1D4F">
              <w:rPr>
                <w:rFonts w:ascii="Lato" w:hAnsi="Lato"/>
                <w:color w:val="FF0000"/>
              </w:rPr>
              <w:t>If costs to access energy data goes up, the marketplace would find another way, or even worse Energy Transition options</w:t>
            </w:r>
          </w:p>
          <w:p w14:paraId="01B50426" w14:textId="4A21D366" w:rsidR="00D7442C" w:rsidRPr="00B56577" w:rsidRDefault="00D7442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3EFA60D5" w14:textId="77777777" w:rsidR="006A6000" w:rsidRDefault="006A6000"/>
    <w:p w14:paraId="1BA86C05" w14:textId="77777777" w:rsidR="006A6000" w:rsidRPr="008678B6" w:rsidRDefault="006A6000" w:rsidP="006A600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5</w:t>
      </w:r>
    </w:p>
    <w:tbl>
      <w:tblPr>
        <w:tblStyle w:val="TableTemplate1"/>
        <w:tblW w:w="5000" w:type="pct"/>
        <w:tblLook w:val="04A0" w:firstRow="1" w:lastRow="0" w:firstColumn="1" w:lastColumn="0" w:noHBand="0" w:noVBand="1"/>
      </w:tblPr>
      <w:tblGrid>
        <w:gridCol w:w="1020"/>
        <w:gridCol w:w="9955"/>
        <w:gridCol w:w="2963"/>
      </w:tblGrid>
      <w:tr w:rsidR="00232D96" w:rsidRPr="00B56577" w14:paraId="481A4024" w14:textId="77777777" w:rsidTr="00232D96">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6" w:type="pct"/>
            <w:vAlign w:val="top"/>
          </w:tcPr>
          <w:p w14:paraId="13D80923" w14:textId="6B0CE96A" w:rsidR="00232D96" w:rsidRPr="007D7F88" w:rsidRDefault="00232D96" w:rsidP="00232D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1E34F51" w14:textId="2979ECF4" w:rsidR="00232D96" w:rsidRPr="00FB6C2F"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866BAD4" w14:textId="4584152C" w:rsidR="00232D96" w:rsidRPr="00B56577"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232D96" w:rsidRPr="00B56577" w14:paraId="7017491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EA9F9EB" w14:textId="552446CF" w:rsidR="00232D96" w:rsidRDefault="00232D96" w:rsidP="00232D96">
            <w:pPr>
              <w:pStyle w:val="TableText-Left"/>
              <w:spacing w:line="276" w:lineRule="auto"/>
              <w:jc w:val="center"/>
              <w:rPr>
                <w:rFonts w:ascii="Lato" w:hAnsi="Lato"/>
              </w:rPr>
            </w:pPr>
            <w:r>
              <w:rPr>
                <w:rFonts w:ascii="Lato" w:hAnsi="Lato"/>
                <w:color w:val="auto"/>
              </w:rPr>
              <w:t>Q29</w:t>
            </w:r>
          </w:p>
        </w:tc>
        <w:tc>
          <w:tcPr>
            <w:tcW w:w="3571" w:type="pct"/>
            <w:vAlign w:val="center"/>
          </w:tcPr>
          <w:p w14:paraId="29E56159" w14:textId="6BBD4E03" w:rsidR="00232D96" w:rsidRPr="00377971"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77971">
              <w:rPr>
                <w:rFonts w:ascii="Lato" w:hAnsi="Lato"/>
              </w:rPr>
              <w:t>Do you agree with our initial assessment of the impact of charging option</w:t>
            </w:r>
            <w:r>
              <w:rPr>
                <w:rFonts w:ascii="Lato" w:hAnsi="Lato"/>
              </w:rPr>
              <w:t xml:space="preserve"> 5</w:t>
            </w:r>
            <w:r w:rsidRPr="00377971">
              <w:rPr>
                <w:rFonts w:ascii="Lato" w:hAnsi="Lato"/>
              </w:rPr>
              <w:t>?</w:t>
            </w:r>
          </w:p>
        </w:tc>
        <w:tc>
          <w:tcPr>
            <w:tcW w:w="1063" w:type="pct"/>
            <w:vAlign w:val="center"/>
          </w:tcPr>
          <w:p w14:paraId="5FD456EA" w14:textId="680DA73B" w:rsidR="00232D96" w:rsidRPr="00B56577" w:rsidRDefault="00657DAE"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57DAE">
              <w:rPr>
                <w:rFonts w:ascii="Lato" w:hAnsi="Lato"/>
                <w:color w:val="FF0000"/>
              </w:rPr>
              <w:t>The complexity of this model seems to significantly outweigh the value it could possibly provide. Although I generic cost per request / per type/ per megabyte could be determined this would have little effect on value and likely preclude important use cases within the market. For example, a real time request for 13 months of consumption data as part of an energy supplier switching journey would likely become the most expensive transaction within this charging model and therefore discourage business using this request to help consumers find and switch to the most appropriate energy tariff for them.</w:t>
            </w:r>
          </w:p>
        </w:tc>
      </w:tr>
      <w:tr w:rsidR="00232D96" w:rsidRPr="00B56577" w14:paraId="6C4A27D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A9B1C16" w14:textId="0A691506" w:rsidR="00232D96" w:rsidRPr="007D7F88" w:rsidRDefault="00232D96" w:rsidP="00232D96">
            <w:pPr>
              <w:pStyle w:val="TableText-Left"/>
              <w:spacing w:line="276" w:lineRule="auto"/>
              <w:jc w:val="center"/>
              <w:rPr>
                <w:rFonts w:ascii="Lato" w:hAnsi="Lato"/>
                <w:color w:val="auto"/>
              </w:rPr>
            </w:pPr>
            <w:r>
              <w:rPr>
                <w:rFonts w:ascii="Lato" w:hAnsi="Lato"/>
                <w:color w:val="auto"/>
              </w:rPr>
              <w:lastRenderedPageBreak/>
              <w:t>Q30</w:t>
            </w:r>
          </w:p>
        </w:tc>
        <w:tc>
          <w:tcPr>
            <w:tcW w:w="3571" w:type="pct"/>
            <w:vAlign w:val="center"/>
          </w:tcPr>
          <w:p w14:paraId="1B913284" w14:textId="2BEFA69C"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Do you agree with our views on the granularity of variable charges? Are there any other characteristics that are important differentiate variable charges on?</w:t>
            </w:r>
          </w:p>
        </w:tc>
        <w:tc>
          <w:tcPr>
            <w:tcW w:w="1063" w:type="pct"/>
            <w:vAlign w:val="center"/>
          </w:tcPr>
          <w:p w14:paraId="2C4BA01C" w14:textId="69293A69" w:rsidR="00232D96" w:rsidRPr="00B56577" w:rsidRDefault="00657DAE"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54DE4">
              <w:rPr>
                <w:rFonts w:ascii="Lato" w:hAnsi="Lato"/>
                <w:color w:val="FF0000"/>
              </w:rPr>
              <w:t>N/A</w:t>
            </w:r>
          </w:p>
        </w:tc>
      </w:tr>
      <w:tr w:rsidR="00232D96" w:rsidRPr="00B56577" w14:paraId="6CC531C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B0361C4" w14:textId="6063D729" w:rsidR="00232D96" w:rsidRPr="007D7F88" w:rsidRDefault="00232D96" w:rsidP="00232D96">
            <w:pPr>
              <w:pStyle w:val="TableText-Left"/>
              <w:spacing w:line="276" w:lineRule="auto"/>
              <w:jc w:val="center"/>
              <w:rPr>
                <w:rFonts w:ascii="Lato" w:hAnsi="Lato"/>
                <w:color w:val="auto"/>
              </w:rPr>
            </w:pPr>
            <w:r>
              <w:rPr>
                <w:rFonts w:ascii="Lato" w:hAnsi="Lato"/>
                <w:color w:val="auto"/>
              </w:rPr>
              <w:t>Q31</w:t>
            </w:r>
          </w:p>
        </w:tc>
        <w:tc>
          <w:tcPr>
            <w:tcW w:w="3571" w:type="pct"/>
            <w:vAlign w:val="center"/>
          </w:tcPr>
          <w:p w14:paraId="3BCA6FAC" w14:textId="23D78421"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 xml:space="preserve">Do you agree with our proposed approach to calibrating variable charges? </w:t>
            </w:r>
          </w:p>
        </w:tc>
        <w:tc>
          <w:tcPr>
            <w:tcW w:w="1063" w:type="pct"/>
            <w:vAlign w:val="center"/>
          </w:tcPr>
          <w:p w14:paraId="602B00A9" w14:textId="3DF4A22E" w:rsidR="00232D96" w:rsidRPr="00B56577" w:rsidRDefault="00657DAE"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54DE4">
              <w:rPr>
                <w:rFonts w:ascii="Lato" w:hAnsi="Lato"/>
                <w:color w:val="FF0000"/>
              </w:rPr>
              <w:t>No</w:t>
            </w:r>
          </w:p>
        </w:tc>
      </w:tr>
      <w:tr w:rsidR="00232D96" w:rsidRPr="00B56577" w14:paraId="1CF0AD1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7851534" w14:textId="45795DD4" w:rsidR="00232D96" w:rsidRPr="007D7F88" w:rsidRDefault="00232D96" w:rsidP="00232D96">
            <w:pPr>
              <w:pStyle w:val="TableText-Left"/>
              <w:spacing w:line="276" w:lineRule="auto"/>
              <w:jc w:val="center"/>
              <w:rPr>
                <w:rFonts w:ascii="Lato" w:hAnsi="Lato"/>
                <w:color w:val="auto"/>
              </w:rPr>
            </w:pPr>
            <w:r>
              <w:rPr>
                <w:rFonts w:ascii="Lato" w:hAnsi="Lato"/>
                <w:color w:val="auto"/>
              </w:rPr>
              <w:t>Q32</w:t>
            </w:r>
          </w:p>
        </w:tc>
        <w:tc>
          <w:tcPr>
            <w:tcW w:w="3571" w:type="pct"/>
            <w:vAlign w:val="center"/>
          </w:tcPr>
          <w:p w14:paraId="278B5278" w14:textId="18E04B8B"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Are there any other impacts or design considerations that should be captured</w:t>
            </w:r>
            <w:r>
              <w:rPr>
                <w:rFonts w:ascii="Lato" w:hAnsi="Lato"/>
              </w:rPr>
              <w:t xml:space="preserve"> under charging option 5</w:t>
            </w:r>
            <w:r w:rsidRPr="00423CFE">
              <w:rPr>
                <w:rFonts w:ascii="Lato" w:hAnsi="Lato"/>
              </w:rPr>
              <w:t>?</w:t>
            </w:r>
          </w:p>
        </w:tc>
        <w:tc>
          <w:tcPr>
            <w:tcW w:w="1063" w:type="pct"/>
            <w:vAlign w:val="center"/>
          </w:tcPr>
          <w:p w14:paraId="26E7929F" w14:textId="6E3C0232" w:rsidR="00232D96" w:rsidRPr="00B56577" w:rsidRDefault="00657DAE"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57DAE">
              <w:rPr>
                <w:rFonts w:ascii="Lato" w:hAnsi="Lato"/>
                <w:color w:val="FF0000"/>
              </w:rPr>
              <w:t>The total market cost of implementing and operating is likely to be multiple factors the cost of DCC implementing option 5. At present all options (excluding option 1) have no indication of DCC cost or wider market impact.</w:t>
            </w:r>
          </w:p>
        </w:tc>
      </w:tr>
      <w:tr w:rsidR="00232D96" w:rsidRPr="00B56577" w14:paraId="49DB9C7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BB7F9BE" w14:textId="2B156AEE" w:rsidR="00232D96" w:rsidRPr="007D7F88" w:rsidRDefault="00232D96" w:rsidP="00232D96">
            <w:pPr>
              <w:pStyle w:val="TableText-Left"/>
              <w:spacing w:line="276" w:lineRule="auto"/>
              <w:jc w:val="center"/>
              <w:rPr>
                <w:rFonts w:ascii="Lato" w:hAnsi="Lato"/>
                <w:color w:val="auto"/>
              </w:rPr>
            </w:pPr>
            <w:r>
              <w:rPr>
                <w:rFonts w:ascii="Lato" w:hAnsi="Lato"/>
                <w:color w:val="auto"/>
              </w:rPr>
              <w:t>Q33</w:t>
            </w:r>
          </w:p>
        </w:tc>
        <w:tc>
          <w:tcPr>
            <w:tcW w:w="3571" w:type="pct"/>
            <w:vAlign w:val="center"/>
          </w:tcPr>
          <w:p w14:paraId="3BF4E336" w14:textId="58ABE653" w:rsidR="00232D96" w:rsidRPr="00FB6C2F" w:rsidRDefault="00F7669E"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7669E">
              <w:rPr>
                <w:rFonts w:ascii="Lato" w:hAnsi="Lato"/>
              </w:rPr>
              <w:t>Do you have any comments on the costs your organisation may incur in implementing charging option 5</w:t>
            </w:r>
            <w:r w:rsidR="00232D96" w:rsidRPr="00423CFE">
              <w:rPr>
                <w:rFonts w:ascii="Lato" w:hAnsi="Lato"/>
              </w:rPr>
              <w:t>?</w:t>
            </w:r>
          </w:p>
        </w:tc>
        <w:tc>
          <w:tcPr>
            <w:tcW w:w="1063" w:type="pct"/>
            <w:vAlign w:val="center"/>
          </w:tcPr>
          <w:p w14:paraId="3CBD6BC1" w14:textId="657A97C5" w:rsidR="00232D96" w:rsidRPr="00B56577" w:rsidRDefault="00154DE4"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54DE4">
              <w:rPr>
                <w:rFonts w:ascii="Lato" w:hAnsi="Lato"/>
                <w:color w:val="FF0000"/>
              </w:rPr>
              <w:t>Greater than x5</w:t>
            </w:r>
          </w:p>
        </w:tc>
      </w:tr>
    </w:tbl>
    <w:p w14:paraId="10371575" w14:textId="77777777" w:rsidR="001E030C" w:rsidRDefault="001E030C"/>
    <w:p w14:paraId="11C84733" w14:textId="565C311C" w:rsidR="006A6000" w:rsidRPr="008678B6" w:rsidRDefault="008F6064" w:rsidP="006A6000">
      <w:pPr>
        <w:pStyle w:val="Heading2"/>
        <w:spacing w:before="220" w:after="220"/>
        <w:ind w:left="709" w:hanging="709"/>
        <w:rPr>
          <w:rFonts w:ascii="Lato" w:eastAsiaTheme="minorHAnsi" w:hAnsi="Lato" w:cstheme="minorBidi"/>
          <w:bCs w:val="0"/>
          <w:iCs w:val="0"/>
          <w:color w:val="CA005D"/>
          <w:szCs w:val="22"/>
        </w:rPr>
      </w:pPr>
      <w:r w:rsidRPr="008F6064">
        <w:rPr>
          <w:rFonts w:ascii="Lato" w:eastAsiaTheme="minorHAnsi" w:hAnsi="Lato" w:cstheme="minorBidi"/>
          <w:bCs w:val="0"/>
          <w:iCs w:val="0"/>
          <w:color w:val="CA005D"/>
          <w:szCs w:val="22"/>
        </w:rPr>
        <w:lastRenderedPageBreak/>
        <w:t xml:space="preserve">Overarching questions (all </w:t>
      </w:r>
      <w:r>
        <w:rPr>
          <w:rFonts w:ascii="Lato" w:eastAsiaTheme="minorHAnsi" w:hAnsi="Lato" w:cstheme="minorBidi"/>
          <w:bCs w:val="0"/>
          <w:iCs w:val="0"/>
          <w:color w:val="CA005D"/>
          <w:szCs w:val="22"/>
        </w:rPr>
        <w:t xml:space="preserve">charging </w:t>
      </w:r>
      <w:r w:rsidRPr="008F6064">
        <w:rPr>
          <w:rFonts w:ascii="Lato" w:eastAsiaTheme="minorHAnsi" w:hAnsi="Lato" w:cstheme="minorBidi"/>
          <w:bCs w:val="0"/>
          <w:iCs w:val="0"/>
          <w:color w:val="CA005D"/>
          <w:szCs w:val="22"/>
        </w:rPr>
        <w:t>options)</w:t>
      </w:r>
    </w:p>
    <w:tbl>
      <w:tblPr>
        <w:tblStyle w:val="TableTemplate1"/>
        <w:tblW w:w="5000" w:type="pct"/>
        <w:tblLook w:val="04A0" w:firstRow="1" w:lastRow="0" w:firstColumn="1" w:lastColumn="0" w:noHBand="0" w:noVBand="1"/>
      </w:tblPr>
      <w:tblGrid>
        <w:gridCol w:w="1020"/>
        <w:gridCol w:w="9955"/>
        <w:gridCol w:w="2963"/>
      </w:tblGrid>
      <w:tr w:rsidR="001E030C" w:rsidRPr="00B56577" w14:paraId="6C3FD763" w14:textId="77777777" w:rsidTr="001E030C">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592B13DB" w14:textId="4034B657" w:rsidR="001E030C" w:rsidRPr="007D7F88" w:rsidRDefault="001E030C" w:rsidP="001E030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4A59FCF" w14:textId="67AAD316" w:rsidR="001E030C" w:rsidRPr="00FB6C2F"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0F0AD94" w14:textId="1F70DE11" w:rsidR="001E030C" w:rsidRPr="00B56577"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1E030C" w:rsidRPr="00B56577" w14:paraId="00A712C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5255DB6" w14:textId="03B6EE62" w:rsidR="001E030C" w:rsidRDefault="001E030C" w:rsidP="001E030C">
            <w:pPr>
              <w:pStyle w:val="TableText-Left"/>
              <w:spacing w:line="276" w:lineRule="auto"/>
              <w:jc w:val="center"/>
              <w:rPr>
                <w:rFonts w:ascii="Lato" w:hAnsi="Lato"/>
              </w:rPr>
            </w:pPr>
            <w:r>
              <w:rPr>
                <w:rFonts w:ascii="Lato" w:hAnsi="Lato"/>
                <w:color w:val="auto"/>
              </w:rPr>
              <w:t>Q34</w:t>
            </w:r>
          </w:p>
        </w:tc>
        <w:tc>
          <w:tcPr>
            <w:tcW w:w="3571" w:type="pct"/>
            <w:vAlign w:val="center"/>
          </w:tcPr>
          <w:p w14:paraId="4588E31D" w14:textId="1BE3D615" w:rsidR="001E030C" w:rsidRPr="00C22E7C"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Which charging model do you think is most viable? Please provide reasons for your response and include evidence to support this where possible.</w:t>
            </w:r>
          </w:p>
        </w:tc>
        <w:tc>
          <w:tcPr>
            <w:tcW w:w="1063" w:type="pct"/>
            <w:vAlign w:val="center"/>
          </w:tcPr>
          <w:p w14:paraId="2F7D9AC4" w14:textId="6BB37673" w:rsidR="001E030C" w:rsidRPr="00B56577" w:rsidRDefault="00154DE4"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54DE4">
              <w:rPr>
                <w:rFonts w:ascii="Lato" w:hAnsi="Lato"/>
                <w:color w:val="FF0000"/>
              </w:rPr>
              <w:t>Option 1 should continue until clarity and maturity of user is established to that an enduring pricing model reflective of the medium to long term usage of the network can be created.</w:t>
            </w:r>
            <w:r>
              <w:rPr>
                <w:rFonts w:ascii="Lato" w:hAnsi="Lato"/>
                <w:color w:val="FF0000"/>
              </w:rPr>
              <w:t xml:space="preserve"> This must be considered within the context of a whole market cost to the consumer (not just the costs to individual DCC users who already have a mandate to charge the consumer directly or indirectly).</w:t>
            </w:r>
          </w:p>
        </w:tc>
      </w:tr>
      <w:tr w:rsidR="001E030C" w:rsidRPr="00B56577" w14:paraId="07C7884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E207BB5" w14:textId="6489B1A3" w:rsidR="001E030C" w:rsidRPr="007D7F88" w:rsidRDefault="001E030C" w:rsidP="001E030C">
            <w:pPr>
              <w:pStyle w:val="TableText-Left"/>
              <w:spacing w:line="276" w:lineRule="auto"/>
              <w:jc w:val="center"/>
              <w:rPr>
                <w:rFonts w:ascii="Lato" w:hAnsi="Lato"/>
                <w:color w:val="auto"/>
              </w:rPr>
            </w:pPr>
            <w:r>
              <w:rPr>
                <w:rFonts w:ascii="Lato" w:hAnsi="Lato"/>
                <w:color w:val="auto"/>
              </w:rPr>
              <w:t>Q35</w:t>
            </w:r>
          </w:p>
        </w:tc>
        <w:tc>
          <w:tcPr>
            <w:tcW w:w="3571" w:type="pct"/>
            <w:vAlign w:val="center"/>
          </w:tcPr>
          <w:p w14:paraId="4F36B388" w14:textId="197B3A95"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Are there any other charging models that you think should be considered?</w:t>
            </w:r>
          </w:p>
        </w:tc>
        <w:tc>
          <w:tcPr>
            <w:tcW w:w="1063" w:type="pct"/>
            <w:vAlign w:val="center"/>
          </w:tcPr>
          <w:p w14:paraId="00924E03" w14:textId="21F4EB37" w:rsidR="001E030C" w:rsidRPr="00154DE4" w:rsidRDefault="00154DE4"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FF0000"/>
              </w:rPr>
            </w:pPr>
            <w:r>
              <w:rPr>
                <w:rFonts w:ascii="Lato" w:hAnsi="Lato"/>
                <w:color w:val="FF0000"/>
              </w:rPr>
              <w:t xml:space="preserve">It is important to more completely consider the efficient operation of the network, including the practices and behaviours of all users before blindly applying an economic solution. </w:t>
            </w:r>
          </w:p>
        </w:tc>
      </w:tr>
      <w:tr w:rsidR="001E030C" w:rsidRPr="00B56577" w14:paraId="191C56E9"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804A599" w14:textId="24FFAD63" w:rsidR="001E030C" w:rsidRPr="007D7F88" w:rsidRDefault="001E030C" w:rsidP="001E030C">
            <w:pPr>
              <w:pStyle w:val="TableText-Left"/>
              <w:spacing w:line="276" w:lineRule="auto"/>
              <w:jc w:val="center"/>
              <w:rPr>
                <w:rFonts w:ascii="Lato" w:hAnsi="Lato"/>
                <w:color w:val="auto"/>
              </w:rPr>
            </w:pPr>
            <w:r>
              <w:rPr>
                <w:rFonts w:ascii="Lato" w:hAnsi="Lato"/>
                <w:color w:val="auto"/>
              </w:rPr>
              <w:lastRenderedPageBreak/>
              <w:t>Q36</w:t>
            </w:r>
          </w:p>
        </w:tc>
        <w:tc>
          <w:tcPr>
            <w:tcW w:w="3571" w:type="pct"/>
            <w:vAlign w:val="center"/>
          </w:tcPr>
          <w:p w14:paraId="0551A1A6" w14:textId="2783364E"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In your view, how does uncertainty about future demand affect the attractiveness of the proposed charging models?</w:t>
            </w:r>
          </w:p>
        </w:tc>
        <w:tc>
          <w:tcPr>
            <w:tcW w:w="1063" w:type="pct"/>
            <w:vAlign w:val="center"/>
          </w:tcPr>
          <w:p w14:paraId="27B30039" w14:textId="10A0DAE6" w:rsidR="001E030C" w:rsidRPr="00B56577" w:rsidRDefault="00154DE4"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54DE4">
              <w:rPr>
                <w:rFonts w:ascii="Lato" w:hAnsi="Lato"/>
                <w:color w:val="FF0000"/>
              </w:rPr>
              <w:t>A more important question to ask would be how does uncertainty of cost affective the attractiveness of using the DCC? This process has already raised multiple red flags to organisations considering the use of smart meter data within their customer propositions and business operations. A prolonged and continued debate will only serve to discourage many who wish to use smart meter data in the fight against climate change and high energy bills.</w:t>
            </w:r>
          </w:p>
        </w:tc>
      </w:tr>
      <w:tr w:rsidR="001E030C" w:rsidRPr="00B56577" w14:paraId="56341F5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FF52F27" w14:textId="1E90C122" w:rsidR="001E030C" w:rsidRPr="007D7F88" w:rsidRDefault="001E030C" w:rsidP="001E030C">
            <w:pPr>
              <w:pStyle w:val="TableText-Left"/>
              <w:spacing w:line="276" w:lineRule="auto"/>
              <w:jc w:val="center"/>
              <w:rPr>
                <w:rFonts w:ascii="Lato" w:hAnsi="Lato"/>
                <w:color w:val="auto"/>
              </w:rPr>
            </w:pPr>
            <w:r>
              <w:rPr>
                <w:rFonts w:ascii="Lato" w:hAnsi="Lato"/>
                <w:color w:val="auto"/>
              </w:rPr>
              <w:t>Q37</w:t>
            </w:r>
          </w:p>
        </w:tc>
        <w:tc>
          <w:tcPr>
            <w:tcW w:w="3571" w:type="pct"/>
            <w:vAlign w:val="center"/>
          </w:tcPr>
          <w:p w14:paraId="5C1EC515" w14:textId="6FC70F72"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 xml:space="preserve">Do you have any comments on the timing for reform implementation? </w:t>
            </w:r>
          </w:p>
        </w:tc>
        <w:tc>
          <w:tcPr>
            <w:tcW w:w="1063" w:type="pct"/>
            <w:vAlign w:val="center"/>
          </w:tcPr>
          <w:p w14:paraId="237B8F45" w14:textId="597FEE80" w:rsidR="001E030C" w:rsidRPr="00B56577" w:rsidRDefault="00154DE4"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54DE4">
              <w:rPr>
                <w:rFonts w:ascii="Lato" w:hAnsi="Lato"/>
                <w:color w:val="FF0000"/>
              </w:rPr>
              <w:t>To soon as previously stated.</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681D59">
      <w:headerReference w:type="default" r:id="rId14"/>
      <w:footerReference w:type="default" r:id="rId15"/>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9CFA5" w14:textId="77777777" w:rsidR="00681D59" w:rsidRDefault="00681D59" w:rsidP="00FA568E">
      <w:pPr>
        <w:spacing w:after="0"/>
      </w:pPr>
      <w:r>
        <w:separator/>
      </w:r>
    </w:p>
  </w:endnote>
  <w:endnote w:type="continuationSeparator" w:id="0">
    <w:p w14:paraId="4B71B00D" w14:textId="77777777" w:rsidR="00681D59" w:rsidRDefault="00681D59" w:rsidP="00FA568E">
      <w:pPr>
        <w:spacing w:after="0"/>
      </w:pPr>
      <w:r>
        <w:continuationSeparator/>
      </w:r>
    </w:p>
  </w:endnote>
  <w:endnote w:type="continuationNotice" w:id="1">
    <w:p w14:paraId="1DA46A7C" w14:textId="77777777" w:rsidR="00681D59" w:rsidRDefault="00681D5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Lato">
    <w:charset w:val="00"/>
    <w:family w:val="swiss"/>
    <w:pitch w:val="variable"/>
    <w:sig w:usb0="E10002FF" w:usb1="5000ECFF" w:usb2="00000021"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6FFFA15E" w14:textId="57B937DF" w:rsidR="002E637C" w:rsidRDefault="00DA6039" w:rsidP="00F37854">
          <w:pPr>
            <w:pStyle w:val="Footer"/>
            <w:rPr>
              <w:sz w:val="20"/>
              <w:szCs w:val="20"/>
            </w:rPr>
          </w:pPr>
          <w:r>
            <w:rPr>
              <w:noProof/>
              <w:sz w:val="20"/>
              <w:szCs w:val="20"/>
            </w:rPr>
            <w:t>DP218 Request fo</w:t>
          </w:r>
          <w:r w:rsidR="008D67C5">
            <w:rPr>
              <w:noProof/>
              <w:sz w:val="20"/>
              <w:szCs w:val="20"/>
            </w:rPr>
            <w:t>r</w:t>
          </w:r>
          <w:r>
            <w:rPr>
              <w:noProof/>
              <w:sz w:val="20"/>
              <w:szCs w:val="20"/>
            </w:rPr>
            <w:t xml:space="preserve"> Information</w:t>
          </w:r>
          <w:r w:rsidR="004D59CB">
            <w:rPr>
              <w:sz w:val="20"/>
              <w:szCs w:val="20"/>
            </w:rPr>
            <w:t xml:space="preserve"> </w:t>
          </w:r>
        </w:p>
        <w:p w14:paraId="2DEE08F5" w14:textId="4C79996C" w:rsidR="00E34ABA" w:rsidRDefault="004D59CB" w:rsidP="00F37854">
          <w:pPr>
            <w:pStyle w:val="Footer"/>
            <w:rPr>
              <w:sz w:val="20"/>
              <w:szCs w:val="20"/>
            </w:rPr>
          </w:pPr>
          <w:r>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0BA4B" w14:textId="77777777" w:rsidR="00681D59" w:rsidRDefault="00681D59" w:rsidP="00FA568E">
      <w:pPr>
        <w:spacing w:after="0"/>
      </w:pPr>
      <w:r>
        <w:separator/>
      </w:r>
    </w:p>
  </w:footnote>
  <w:footnote w:type="continuationSeparator" w:id="0">
    <w:p w14:paraId="5C6E5D4E" w14:textId="77777777" w:rsidR="00681D59" w:rsidRDefault="00681D59" w:rsidP="00FA568E">
      <w:pPr>
        <w:spacing w:after="0"/>
      </w:pPr>
      <w:r>
        <w:continuationSeparator/>
      </w:r>
    </w:p>
  </w:footnote>
  <w:footnote w:type="continuationNotice" w:id="1">
    <w:p w14:paraId="08762F43" w14:textId="77777777" w:rsidR="00681D59" w:rsidRDefault="00681D5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282D1" w14:textId="7CEA6EDC"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DA6039" w:rsidRPr="00DA6039">
      <w:rPr>
        <w:rFonts w:ascii="Lato" w:hAnsi="Lato"/>
      </w:rPr>
      <w:t>DP218 ‘Review of the SEC Charging Methodology’</w:t>
    </w:r>
    <w:r w:rsidR="00DA6039">
      <w:rPr>
        <w:rFonts w:ascii="Lato" w:hAnsi="Lato"/>
      </w:rPr>
      <w:t xml:space="preserve"> </w:t>
    </w:r>
    <w:r w:rsidR="009A718D">
      <w:rPr>
        <w:rFonts w:ascii="Lato" w:hAnsi="Lato"/>
      </w:rPr>
      <w:t>RFI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321A86"/>
    <w:multiLevelType w:val="hybridMultilevel"/>
    <w:tmpl w:val="C7D4C69E"/>
    <w:lvl w:ilvl="0" w:tplc="C23E4F2C">
      <w:start w:val="31"/>
      <w:numFmt w:val="bullet"/>
      <w:lvlText w:val="-"/>
      <w:lvlJc w:val="left"/>
      <w:pPr>
        <w:ind w:left="720" w:hanging="360"/>
      </w:pPr>
      <w:rPr>
        <w:rFonts w:ascii="Lato" w:eastAsia="Times New Roman" w:hAnsi="Lato"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1"/>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3"/>
  </w:num>
  <w:num w:numId="32" w16cid:durableId="688145661">
    <w:abstractNumId w:val="5"/>
  </w:num>
  <w:num w:numId="33" w16cid:durableId="1035077202">
    <w:abstractNumId w:val="18"/>
  </w:num>
  <w:num w:numId="34" w16cid:durableId="513805101">
    <w:abstractNumId w:val="32"/>
  </w:num>
  <w:num w:numId="35" w16cid:durableId="833491217">
    <w:abstractNumId w:val="31"/>
  </w:num>
  <w:num w:numId="36" w16cid:durableId="1313607884">
    <w:abstractNumId w:val="31"/>
  </w:num>
  <w:num w:numId="37" w16cid:durableId="1092973961">
    <w:abstractNumId w:val="31"/>
  </w:num>
  <w:num w:numId="38" w16cid:durableId="1889871815">
    <w:abstractNumId w:val="31"/>
  </w:num>
  <w:num w:numId="39" w16cid:durableId="81436955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7BD"/>
    <w:rsid w:val="000158D8"/>
    <w:rsid w:val="0001596C"/>
    <w:rsid w:val="00015E6D"/>
    <w:rsid w:val="0001601B"/>
    <w:rsid w:val="00016A1E"/>
    <w:rsid w:val="00016D9F"/>
    <w:rsid w:val="00017238"/>
    <w:rsid w:val="000176CF"/>
    <w:rsid w:val="00017801"/>
    <w:rsid w:val="00022890"/>
    <w:rsid w:val="00022B36"/>
    <w:rsid w:val="00022DCC"/>
    <w:rsid w:val="000248BC"/>
    <w:rsid w:val="00030033"/>
    <w:rsid w:val="00030450"/>
    <w:rsid w:val="00030A76"/>
    <w:rsid w:val="00032845"/>
    <w:rsid w:val="00032C08"/>
    <w:rsid w:val="00033289"/>
    <w:rsid w:val="00033945"/>
    <w:rsid w:val="0003463F"/>
    <w:rsid w:val="00034FB8"/>
    <w:rsid w:val="000369DB"/>
    <w:rsid w:val="00040582"/>
    <w:rsid w:val="00040EC8"/>
    <w:rsid w:val="00041C64"/>
    <w:rsid w:val="000431FA"/>
    <w:rsid w:val="00043637"/>
    <w:rsid w:val="00044E8C"/>
    <w:rsid w:val="000530A4"/>
    <w:rsid w:val="00055BB5"/>
    <w:rsid w:val="00056367"/>
    <w:rsid w:val="00056889"/>
    <w:rsid w:val="000574A0"/>
    <w:rsid w:val="0006123B"/>
    <w:rsid w:val="00062D5C"/>
    <w:rsid w:val="0006438D"/>
    <w:rsid w:val="00064C0A"/>
    <w:rsid w:val="00065B5E"/>
    <w:rsid w:val="00067235"/>
    <w:rsid w:val="00070535"/>
    <w:rsid w:val="00071310"/>
    <w:rsid w:val="00073134"/>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D1C40"/>
    <w:rsid w:val="000D3331"/>
    <w:rsid w:val="000D3469"/>
    <w:rsid w:val="000D4374"/>
    <w:rsid w:val="000D46DC"/>
    <w:rsid w:val="000D532A"/>
    <w:rsid w:val="000D626B"/>
    <w:rsid w:val="000D7209"/>
    <w:rsid w:val="000D7ACA"/>
    <w:rsid w:val="000E100A"/>
    <w:rsid w:val="000E190B"/>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1D4B"/>
    <w:rsid w:val="0013209F"/>
    <w:rsid w:val="001344EA"/>
    <w:rsid w:val="00135DCD"/>
    <w:rsid w:val="00136466"/>
    <w:rsid w:val="00136F19"/>
    <w:rsid w:val="0014073F"/>
    <w:rsid w:val="0014143E"/>
    <w:rsid w:val="001419F7"/>
    <w:rsid w:val="00142B72"/>
    <w:rsid w:val="00143234"/>
    <w:rsid w:val="001444F7"/>
    <w:rsid w:val="00144E0E"/>
    <w:rsid w:val="00147826"/>
    <w:rsid w:val="001523C6"/>
    <w:rsid w:val="00152599"/>
    <w:rsid w:val="001540FD"/>
    <w:rsid w:val="00154DE4"/>
    <w:rsid w:val="00155248"/>
    <w:rsid w:val="001567AC"/>
    <w:rsid w:val="00156F7C"/>
    <w:rsid w:val="00157576"/>
    <w:rsid w:val="00157E13"/>
    <w:rsid w:val="00157EAD"/>
    <w:rsid w:val="00160E14"/>
    <w:rsid w:val="00161429"/>
    <w:rsid w:val="001615DF"/>
    <w:rsid w:val="00162EEB"/>
    <w:rsid w:val="001630B3"/>
    <w:rsid w:val="00165546"/>
    <w:rsid w:val="00167C5F"/>
    <w:rsid w:val="00171256"/>
    <w:rsid w:val="00173189"/>
    <w:rsid w:val="001768E6"/>
    <w:rsid w:val="001805D9"/>
    <w:rsid w:val="00180AD2"/>
    <w:rsid w:val="00180C58"/>
    <w:rsid w:val="00182E10"/>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DF8"/>
    <w:rsid w:val="001A25F1"/>
    <w:rsid w:val="001A2DCA"/>
    <w:rsid w:val="001A3937"/>
    <w:rsid w:val="001A3B9C"/>
    <w:rsid w:val="001A409B"/>
    <w:rsid w:val="001A60C3"/>
    <w:rsid w:val="001A657A"/>
    <w:rsid w:val="001A66A7"/>
    <w:rsid w:val="001A6D5B"/>
    <w:rsid w:val="001A7700"/>
    <w:rsid w:val="001B0F68"/>
    <w:rsid w:val="001B0FC8"/>
    <w:rsid w:val="001B19F6"/>
    <w:rsid w:val="001B1AC0"/>
    <w:rsid w:val="001B2AE7"/>
    <w:rsid w:val="001B2FAE"/>
    <w:rsid w:val="001B5CEE"/>
    <w:rsid w:val="001B6690"/>
    <w:rsid w:val="001B7475"/>
    <w:rsid w:val="001C04D9"/>
    <w:rsid w:val="001C1CFC"/>
    <w:rsid w:val="001C5EC6"/>
    <w:rsid w:val="001C60B0"/>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030C"/>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1F7A53"/>
    <w:rsid w:val="002010E0"/>
    <w:rsid w:val="00201361"/>
    <w:rsid w:val="00201C82"/>
    <w:rsid w:val="00201D17"/>
    <w:rsid w:val="00201EB8"/>
    <w:rsid w:val="002023F9"/>
    <w:rsid w:val="002025D7"/>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228E"/>
    <w:rsid w:val="002225AE"/>
    <w:rsid w:val="00222909"/>
    <w:rsid w:val="00222C88"/>
    <w:rsid w:val="0022370A"/>
    <w:rsid w:val="00223C5F"/>
    <w:rsid w:val="0022677B"/>
    <w:rsid w:val="00227287"/>
    <w:rsid w:val="0023250C"/>
    <w:rsid w:val="00232D96"/>
    <w:rsid w:val="00233DEA"/>
    <w:rsid w:val="002343C7"/>
    <w:rsid w:val="002347C4"/>
    <w:rsid w:val="00235529"/>
    <w:rsid w:val="0023572D"/>
    <w:rsid w:val="00236170"/>
    <w:rsid w:val="002376DB"/>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6DC"/>
    <w:rsid w:val="00275906"/>
    <w:rsid w:val="00276C39"/>
    <w:rsid w:val="00281673"/>
    <w:rsid w:val="002824C6"/>
    <w:rsid w:val="00282A5F"/>
    <w:rsid w:val="00282E4F"/>
    <w:rsid w:val="00285B51"/>
    <w:rsid w:val="00286CF5"/>
    <w:rsid w:val="00287479"/>
    <w:rsid w:val="00290158"/>
    <w:rsid w:val="00291741"/>
    <w:rsid w:val="002931B8"/>
    <w:rsid w:val="002938E3"/>
    <w:rsid w:val="00293DE4"/>
    <w:rsid w:val="00293EDE"/>
    <w:rsid w:val="00295B8C"/>
    <w:rsid w:val="00295D63"/>
    <w:rsid w:val="00295EA5"/>
    <w:rsid w:val="002971C0"/>
    <w:rsid w:val="002A05BD"/>
    <w:rsid w:val="002A35FB"/>
    <w:rsid w:val="002A3882"/>
    <w:rsid w:val="002A3F9C"/>
    <w:rsid w:val="002A4258"/>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322A"/>
    <w:rsid w:val="002E376A"/>
    <w:rsid w:val="002E3A72"/>
    <w:rsid w:val="002E44F8"/>
    <w:rsid w:val="002E637C"/>
    <w:rsid w:val="002E6635"/>
    <w:rsid w:val="002E6812"/>
    <w:rsid w:val="002E6D16"/>
    <w:rsid w:val="002E7478"/>
    <w:rsid w:val="002F0051"/>
    <w:rsid w:val="002F11EE"/>
    <w:rsid w:val="002F1789"/>
    <w:rsid w:val="002F208B"/>
    <w:rsid w:val="002F2865"/>
    <w:rsid w:val="002F342F"/>
    <w:rsid w:val="002F3B3A"/>
    <w:rsid w:val="002F4E04"/>
    <w:rsid w:val="002F7E81"/>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C31"/>
    <w:rsid w:val="00313F9C"/>
    <w:rsid w:val="00314F6D"/>
    <w:rsid w:val="00316163"/>
    <w:rsid w:val="0031740C"/>
    <w:rsid w:val="00317745"/>
    <w:rsid w:val="003178C7"/>
    <w:rsid w:val="00323019"/>
    <w:rsid w:val="00326817"/>
    <w:rsid w:val="003269A8"/>
    <w:rsid w:val="00326FEA"/>
    <w:rsid w:val="00327637"/>
    <w:rsid w:val="003279E5"/>
    <w:rsid w:val="00327BC7"/>
    <w:rsid w:val="00331152"/>
    <w:rsid w:val="00331594"/>
    <w:rsid w:val="003317A4"/>
    <w:rsid w:val="00331A65"/>
    <w:rsid w:val="00331B28"/>
    <w:rsid w:val="003349D8"/>
    <w:rsid w:val="00336AE7"/>
    <w:rsid w:val="00336C0F"/>
    <w:rsid w:val="00337120"/>
    <w:rsid w:val="0034142E"/>
    <w:rsid w:val="00341E74"/>
    <w:rsid w:val="00344139"/>
    <w:rsid w:val="00344653"/>
    <w:rsid w:val="00346BB6"/>
    <w:rsid w:val="00347A8F"/>
    <w:rsid w:val="00350615"/>
    <w:rsid w:val="00350707"/>
    <w:rsid w:val="00350A9A"/>
    <w:rsid w:val="00351134"/>
    <w:rsid w:val="00351685"/>
    <w:rsid w:val="003536E3"/>
    <w:rsid w:val="0035397A"/>
    <w:rsid w:val="00353BD1"/>
    <w:rsid w:val="003568B8"/>
    <w:rsid w:val="003578AF"/>
    <w:rsid w:val="00357D66"/>
    <w:rsid w:val="00360A85"/>
    <w:rsid w:val="00360B1C"/>
    <w:rsid w:val="00360D23"/>
    <w:rsid w:val="00364B0A"/>
    <w:rsid w:val="00370238"/>
    <w:rsid w:val="00371077"/>
    <w:rsid w:val="003712C6"/>
    <w:rsid w:val="00372BB1"/>
    <w:rsid w:val="00372D62"/>
    <w:rsid w:val="00375285"/>
    <w:rsid w:val="00376052"/>
    <w:rsid w:val="00376B83"/>
    <w:rsid w:val="00377971"/>
    <w:rsid w:val="00377B32"/>
    <w:rsid w:val="00380E17"/>
    <w:rsid w:val="003825E4"/>
    <w:rsid w:val="00385D47"/>
    <w:rsid w:val="00385FC5"/>
    <w:rsid w:val="00387B0F"/>
    <w:rsid w:val="00387F24"/>
    <w:rsid w:val="00390B17"/>
    <w:rsid w:val="00390E9F"/>
    <w:rsid w:val="00391B09"/>
    <w:rsid w:val="00393741"/>
    <w:rsid w:val="00393963"/>
    <w:rsid w:val="00393B0D"/>
    <w:rsid w:val="00393F79"/>
    <w:rsid w:val="00394F39"/>
    <w:rsid w:val="00395DC8"/>
    <w:rsid w:val="00395E93"/>
    <w:rsid w:val="003977DA"/>
    <w:rsid w:val="00397F39"/>
    <w:rsid w:val="003A0598"/>
    <w:rsid w:val="003A0880"/>
    <w:rsid w:val="003A0A3F"/>
    <w:rsid w:val="003A0A71"/>
    <w:rsid w:val="003A23F6"/>
    <w:rsid w:val="003A3B09"/>
    <w:rsid w:val="003A412B"/>
    <w:rsid w:val="003A5463"/>
    <w:rsid w:val="003A5BDC"/>
    <w:rsid w:val="003A65E2"/>
    <w:rsid w:val="003A6B61"/>
    <w:rsid w:val="003A6C64"/>
    <w:rsid w:val="003A7C41"/>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529C"/>
    <w:rsid w:val="003D5559"/>
    <w:rsid w:val="003E299D"/>
    <w:rsid w:val="003E56AB"/>
    <w:rsid w:val="003E625B"/>
    <w:rsid w:val="003E636B"/>
    <w:rsid w:val="003E6D71"/>
    <w:rsid w:val="003E6E88"/>
    <w:rsid w:val="003F02A3"/>
    <w:rsid w:val="003F0835"/>
    <w:rsid w:val="003F1332"/>
    <w:rsid w:val="003F24C9"/>
    <w:rsid w:val="003F254A"/>
    <w:rsid w:val="003F3378"/>
    <w:rsid w:val="003F695D"/>
    <w:rsid w:val="00400CE9"/>
    <w:rsid w:val="0040231B"/>
    <w:rsid w:val="00402D80"/>
    <w:rsid w:val="00403A06"/>
    <w:rsid w:val="00404F26"/>
    <w:rsid w:val="00404F6A"/>
    <w:rsid w:val="00404F7A"/>
    <w:rsid w:val="00406425"/>
    <w:rsid w:val="004064E0"/>
    <w:rsid w:val="00406C41"/>
    <w:rsid w:val="00406EB9"/>
    <w:rsid w:val="00406ED7"/>
    <w:rsid w:val="00407AEF"/>
    <w:rsid w:val="004119FB"/>
    <w:rsid w:val="004122B8"/>
    <w:rsid w:val="00412369"/>
    <w:rsid w:val="00412A22"/>
    <w:rsid w:val="00413255"/>
    <w:rsid w:val="00415690"/>
    <w:rsid w:val="00415696"/>
    <w:rsid w:val="0041569B"/>
    <w:rsid w:val="004169D4"/>
    <w:rsid w:val="00422846"/>
    <w:rsid w:val="00422DE0"/>
    <w:rsid w:val="00422EF3"/>
    <w:rsid w:val="00423A1D"/>
    <w:rsid w:val="00423CFE"/>
    <w:rsid w:val="0042418F"/>
    <w:rsid w:val="00424B53"/>
    <w:rsid w:val="0042566F"/>
    <w:rsid w:val="00425B34"/>
    <w:rsid w:val="00426134"/>
    <w:rsid w:val="004274E0"/>
    <w:rsid w:val="004277F0"/>
    <w:rsid w:val="0043010B"/>
    <w:rsid w:val="00430182"/>
    <w:rsid w:val="0043041F"/>
    <w:rsid w:val="004313F5"/>
    <w:rsid w:val="0043177D"/>
    <w:rsid w:val="004320E3"/>
    <w:rsid w:val="0043422F"/>
    <w:rsid w:val="004347F0"/>
    <w:rsid w:val="00434FE5"/>
    <w:rsid w:val="00435F8A"/>
    <w:rsid w:val="00437088"/>
    <w:rsid w:val="004370E5"/>
    <w:rsid w:val="004372F0"/>
    <w:rsid w:val="00437F9E"/>
    <w:rsid w:val="00440360"/>
    <w:rsid w:val="0044217A"/>
    <w:rsid w:val="00443F93"/>
    <w:rsid w:val="00444342"/>
    <w:rsid w:val="004449D9"/>
    <w:rsid w:val="004466E7"/>
    <w:rsid w:val="00446A5E"/>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4571"/>
    <w:rsid w:val="00474F0E"/>
    <w:rsid w:val="00475136"/>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6641"/>
    <w:rsid w:val="004A016C"/>
    <w:rsid w:val="004A3969"/>
    <w:rsid w:val="004A4FD8"/>
    <w:rsid w:val="004A5819"/>
    <w:rsid w:val="004A6CBB"/>
    <w:rsid w:val="004B040C"/>
    <w:rsid w:val="004B0A6E"/>
    <w:rsid w:val="004B1BCE"/>
    <w:rsid w:val="004B1BF7"/>
    <w:rsid w:val="004B2131"/>
    <w:rsid w:val="004B2950"/>
    <w:rsid w:val="004B2C0E"/>
    <w:rsid w:val="004B2C2A"/>
    <w:rsid w:val="004B3823"/>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2296"/>
    <w:rsid w:val="00533739"/>
    <w:rsid w:val="00535C72"/>
    <w:rsid w:val="00536503"/>
    <w:rsid w:val="005372A9"/>
    <w:rsid w:val="00540872"/>
    <w:rsid w:val="005410AB"/>
    <w:rsid w:val="00541145"/>
    <w:rsid w:val="00541A5B"/>
    <w:rsid w:val="00542352"/>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5B42"/>
    <w:rsid w:val="005661A9"/>
    <w:rsid w:val="00566F5B"/>
    <w:rsid w:val="00571197"/>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04E7"/>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C7520"/>
    <w:rsid w:val="005D02FF"/>
    <w:rsid w:val="005D2339"/>
    <w:rsid w:val="005D3420"/>
    <w:rsid w:val="005D515A"/>
    <w:rsid w:val="005D56FB"/>
    <w:rsid w:val="005D5D2A"/>
    <w:rsid w:val="005D6853"/>
    <w:rsid w:val="005D6E06"/>
    <w:rsid w:val="005E024C"/>
    <w:rsid w:val="005E1E32"/>
    <w:rsid w:val="005E2C83"/>
    <w:rsid w:val="005E351B"/>
    <w:rsid w:val="005E4D5B"/>
    <w:rsid w:val="005E56C0"/>
    <w:rsid w:val="005E5B8B"/>
    <w:rsid w:val="005E5EA5"/>
    <w:rsid w:val="005E63B8"/>
    <w:rsid w:val="005F0024"/>
    <w:rsid w:val="005F2A47"/>
    <w:rsid w:val="005F43B9"/>
    <w:rsid w:val="005F4532"/>
    <w:rsid w:val="005F464F"/>
    <w:rsid w:val="005F5B8F"/>
    <w:rsid w:val="005F5EC8"/>
    <w:rsid w:val="005F6D09"/>
    <w:rsid w:val="005F7F6C"/>
    <w:rsid w:val="006008AD"/>
    <w:rsid w:val="00600FDA"/>
    <w:rsid w:val="00601D9F"/>
    <w:rsid w:val="00604014"/>
    <w:rsid w:val="0060403D"/>
    <w:rsid w:val="00605673"/>
    <w:rsid w:val="00610FEF"/>
    <w:rsid w:val="006112C6"/>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42AF2"/>
    <w:rsid w:val="00644598"/>
    <w:rsid w:val="00644A88"/>
    <w:rsid w:val="006469EB"/>
    <w:rsid w:val="00647DE9"/>
    <w:rsid w:val="00650BAD"/>
    <w:rsid w:val="00650D99"/>
    <w:rsid w:val="00650F48"/>
    <w:rsid w:val="0065146C"/>
    <w:rsid w:val="00652BE8"/>
    <w:rsid w:val="006536B3"/>
    <w:rsid w:val="00653971"/>
    <w:rsid w:val="006540A8"/>
    <w:rsid w:val="00654BE0"/>
    <w:rsid w:val="00654CB7"/>
    <w:rsid w:val="00655912"/>
    <w:rsid w:val="00656DA2"/>
    <w:rsid w:val="00657B27"/>
    <w:rsid w:val="00657DAE"/>
    <w:rsid w:val="00662C89"/>
    <w:rsid w:val="00662DE7"/>
    <w:rsid w:val="00662ED1"/>
    <w:rsid w:val="00663742"/>
    <w:rsid w:val="00665106"/>
    <w:rsid w:val="006672D3"/>
    <w:rsid w:val="00671D44"/>
    <w:rsid w:val="006724B5"/>
    <w:rsid w:val="00673396"/>
    <w:rsid w:val="006734C3"/>
    <w:rsid w:val="00673928"/>
    <w:rsid w:val="00673B5A"/>
    <w:rsid w:val="006741BE"/>
    <w:rsid w:val="0067478E"/>
    <w:rsid w:val="00674D62"/>
    <w:rsid w:val="006757B9"/>
    <w:rsid w:val="00675CD5"/>
    <w:rsid w:val="00676777"/>
    <w:rsid w:val="00676C2B"/>
    <w:rsid w:val="00676FA3"/>
    <w:rsid w:val="00677316"/>
    <w:rsid w:val="00677613"/>
    <w:rsid w:val="00677DEA"/>
    <w:rsid w:val="00680396"/>
    <w:rsid w:val="0068176C"/>
    <w:rsid w:val="00681D59"/>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1494"/>
    <w:rsid w:val="006A2043"/>
    <w:rsid w:val="006A2341"/>
    <w:rsid w:val="006A23DA"/>
    <w:rsid w:val="006A28D5"/>
    <w:rsid w:val="006A2F3E"/>
    <w:rsid w:val="006A3289"/>
    <w:rsid w:val="006A3933"/>
    <w:rsid w:val="006A4E00"/>
    <w:rsid w:val="006A6000"/>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E010B"/>
    <w:rsid w:val="006E0C28"/>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24"/>
    <w:rsid w:val="007147D9"/>
    <w:rsid w:val="00714998"/>
    <w:rsid w:val="0071784A"/>
    <w:rsid w:val="00720E9D"/>
    <w:rsid w:val="00721005"/>
    <w:rsid w:val="007212A7"/>
    <w:rsid w:val="00721324"/>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5CDA"/>
    <w:rsid w:val="00745D6B"/>
    <w:rsid w:val="00745F8D"/>
    <w:rsid w:val="00746AD2"/>
    <w:rsid w:val="0074788C"/>
    <w:rsid w:val="007478F4"/>
    <w:rsid w:val="00747AB8"/>
    <w:rsid w:val="007514FF"/>
    <w:rsid w:val="007530EB"/>
    <w:rsid w:val="00753E7E"/>
    <w:rsid w:val="00754ADF"/>
    <w:rsid w:val="007557C1"/>
    <w:rsid w:val="00755A89"/>
    <w:rsid w:val="00757626"/>
    <w:rsid w:val="0076061C"/>
    <w:rsid w:val="007617AC"/>
    <w:rsid w:val="00765684"/>
    <w:rsid w:val="00765B73"/>
    <w:rsid w:val="00772CE4"/>
    <w:rsid w:val="00772D02"/>
    <w:rsid w:val="00773AE9"/>
    <w:rsid w:val="0077467B"/>
    <w:rsid w:val="00774879"/>
    <w:rsid w:val="00774C57"/>
    <w:rsid w:val="00777926"/>
    <w:rsid w:val="007800EC"/>
    <w:rsid w:val="00780202"/>
    <w:rsid w:val="00780889"/>
    <w:rsid w:val="00781B98"/>
    <w:rsid w:val="00781C63"/>
    <w:rsid w:val="00781E88"/>
    <w:rsid w:val="00781EB0"/>
    <w:rsid w:val="00782B0B"/>
    <w:rsid w:val="007843F6"/>
    <w:rsid w:val="00784E4C"/>
    <w:rsid w:val="00786EFF"/>
    <w:rsid w:val="00787AD3"/>
    <w:rsid w:val="00787B74"/>
    <w:rsid w:val="0079001A"/>
    <w:rsid w:val="0079005C"/>
    <w:rsid w:val="007912B2"/>
    <w:rsid w:val="00792D6A"/>
    <w:rsid w:val="007934EA"/>
    <w:rsid w:val="007941CD"/>
    <w:rsid w:val="007951DD"/>
    <w:rsid w:val="007953E7"/>
    <w:rsid w:val="0079628D"/>
    <w:rsid w:val="00796E0C"/>
    <w:rsid w:val="007A093C"/>
    <w:rsid w:val="007A18BE"/>
    <w:rsid w:val="007A2DAC"/>
    <w:rsid w:val="007A3A01"/>
    <w:rsid w:val="007A3BF2"/>
    <w:rsid w:val="007A5519"/>
    <w:rsid w:val="007A5881"/>
    <w:rsid w:val="007A589F"/>
    <w:rsid w:val="007A7CD8"/>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D7F88"/>
    <w:rsid w:val="007E0EA2"/>
    <w:rsid w:val="007E149E"/>
    <w:rsid w:val="007E15B7"/>
    <w:rsid w:val="007E1D76"/>
    <w:rsid w:val="007E1EBE"/>
    <w:rsid w:val="007E20BB"/>
    <w:rsid w:val="007E24AE"/>
    <w:rsid w:val="007E2914"/>
    <w:rsid w:val="007E29CF"/>
    <w:rsid w:val="007E3ED4"/>
    <w:rsid w:val="007E6E1B"/>
    <w:rsid w:val="007E6F6A"/>
    <w:rsid w:val="007E7802"/>
    <w:rsid w:val="007F20DA"/>
    <w:rsid w:val="007F219F"/>
    <w:rsid w:val="007F23AB"/>
    <w:rsid w:val="007F345B"/>
    <w:rsid w:val="007F35F8"/>
    <w:rsid w:val="007F3A28"/>
    <w:rsid w:val="007F3B3F"/>
    <w:rsid w:val="007F3B85"/>
    <w:rsid w:val="00800E58"/>
    <w:rsid w:val="008014A3"/>
    <w:rsid w:val="00802E7F"/>
    <w:rsid w:val="0080336B"/>
    <w:rsid w:val="00803D6C"/>
    <w:rsid w:val="00804B17"/>
    <w:rsid w:val="00805669"/>
    <w:rsid w:val="00810111"/>
    <w:rsid w:val="008102F3"/>
    <w:rsid w:val="008104C6"/>
    <w:rsid w:val="00811319"/>
    <w:rsid w:val="00811A2D"/>
    <w:rsid w:val="00812636"/>
    <w:rsid w:val="00812AF2"/>
    <w:rsid w:val="008141BD"/>
    <w:rsid w:val="008149F2"/>
    <w:rsid w:val="0081588D"/>
    <w:rsid w:val="00815AED"/>
    <w:rsid w:val="00816328"/>
    <w:rsid w:val="00816548"/>
    <w:rsid w:val="00816C33"/>
    <w:rsid w:val="00817EE8"/>
    <w:rsid w:val="00821976"/>
    <w:rsid w:val="0082203F"/>
    <w:rsid w:val="00823CF0"/>
    <w:rsid w:val="008249DC"/>
    <w:rsid w:val="0083049B"/>
    <w:rsid w:val="008328A2"/>
    <w:rsid w:val="008334B6"/>
    <w:rsid w:val="00833BD8"/>
    <w:rsid w:val="008347C4"/>
    <w:rsid w:val="008352E1"/>
    <w:rsid w:val="00836564"/>
    <w:rsid w:val="00837319"/>
    <w:rsid w:val="00842425"/>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678B6"/>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7E58"/>
    <w:rsid w:val="008B0874"/>
    <w:rsid w:val="008B1D4F"/>
    <w:rsid w:val="008B25C4"/>
    <w:rsid w:val="008B2DC0"/>
    <w:rsid w:val="008B353A"/>
    <w:rsid w:val="008B39FF"/>
    <w:rsid w:val="008B5ADB"/>
    <w:rsid w:val="008B5F33"/>
    <w:rsid w:val="008B7164"/>
    <w:rsid w:val="008C04AF"/>
    <w:rsid w:val="008C1F11"/>
    <w:rsid w:val="008C5AF9"/>
    <w:rsid w:val="008C618F"/>
    <w:rsid w:val="008C67CE"/>
    <w:rsid w:val="008C68C3"/>
    <w:rsid w:val="008C6BA2"/>
    <w:rsid w:val="008C6F7F"/>
    <w:rsid w:val="008D0AEC"/>
    <w:rsid w:val="008D0B80"/>
    <w:rsid w:val="008D184C"/>
    <w:rsid w:val="008D3EE1"/>
    <w:rsid w:val="008D4E90"/>
    <w:rsid w:val="008D5009"/>
    <w:rsid w:val="008D67C5"/>
    <w:rsid w:val="008D6F40"/>
    <w:rsid w:val="008D740E"/>
    <w:rsid w:val="008E20C6"/>
    <w:rsid w:val="008E25C6"/>
    <w:rsid w:val="008E26F3"/>
    <w:rsid w:val="008E3102"/>
    <w:rsid w:val="008E472A"/>
    <w:rsid w:val="008E4840"/>
    <w:rsid w:val="008E6977"/>
    <w:rsid w:val="008F03D0"/>
    <w:rsid w:val="008F058A"/>
    <w:rsid w:val="008F061F"/>
    <w:rsid w:val="008F15D3"/>
    <w:rsid w:val="008F2E58"/>
    <w:rsid w:val="008F4304"/>
    <w:rsid w:val="008F4520"/>
    <w:rsid w:val="008F49D9"/>
    <w:rsid w:val="008F4A1C"/>
    <w:rsid w:val="008F5A2C"/>
    <w:rsid w:val="008F6064"/>
    <w:rsid w:val="008F6F74"/>
    <w:rsid w:val="009006B8"/>
    <w:rsid w:val="00900AA8"/>
    <w:rsid w:val="00902CD9"/>
    <w:rsid w:val="00903028"/>
    <w:rsid w:val="00904D1F"/>
    <w:rsid w:val="00905067"/>
    <w:rsid w:val="00906B50"/>
    <w:rsid w:val="0090703A"/>
    <w:rsid w:val="0090784F"/>
    <w:rsid w:val="00907CAA"/>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2F4"/>
    <w:rsid w:val="00924851"/>
    <w:rsid w:val="00924A00"/>
    <w:rsid w:val="00926D3D"/>
    <w:rsid w:val="0092773D"/>
    <w:rsid w:val="00930A25"/>
    <w:rsid w:val="00931744"/>
    <w:rsid w:val="00931829"/>
    <w:rsid w:val="00932147"/>
    <w:rsid w:val="00934E2E"/>
    <w:rsid w:val="0093602D"/>
    <w:rsid w:val="00937A77"/>
    <w:rsid w:val="009406D7"/>
    <w:rsid w:val="00942787"/>
    <w:rsid w:val="00942C46"/>
    <w:rsid w:val="00942C5F"/>
    <w:rsid w:val="00944568"/>
    <w:rsid w:val="009452BC"/>
    <w:rsid w:val="009460A7"/>
    <w:rsid w:val="009463A9"/>
    <w:rsid w:val="009469A8"/>
    <w:rsid w:val="009469CF"/>
    <w:rsid w:val="0095058B"/>
    <w:rsid w:val="0095351B"/>
    <w:rsid w:val="00953DFA"/>
    <w:rsid w:val="009543F7"/>
    <w:rsid w:val="0095463F"/>
    <w:rsid w:val="00955656"/>
    <w:rsid w:val="0095779B"/>
    <w:rsid w:val="009579E7"/>
    <w:rsid w:val="009605C4"/>
    <w:rsid w:val="00960EEF"/>
    <w:rsid w:val="009616E1"/>
    <w:rsid w:val="00961D4F"/>
    <w:rsid w:val="00963E77"/>
    <w:rsid w:val="009642E5"/>
    <w:rsid w:val="00965ADC"/>
    <w:rsid w:val="009660C1"/>
    <w:rsid w:val="00967ED8"/>
    <w:rsid w:val="009723C9"/>
    <w:rsid w:val="00973C8C"/>
    <w:rsid w:val="00974798"/>
    <w:rsid w:val="00974F0F"/>
    <w:rsid w:val="0097637D"/>
    <w:rsid w:val="00976397"/>
    <w:rsid w:val="00977677"/>
    <w:rsid w:val="00980733"/>
    <w:rsid w:val="00980839"/>
    <w:rsid w:val="009823B6"/>
    <w:rsid w:val="009837B9"/>
    <w:rsid w:val="00984EA7"/>
    <w:rsid w:val="009855F8"/>
    <w:rsid w:val="00985C67"/>
    <w:rsid w:val="0098602D"/>
    <w:rsid w:val="00987CBE"/>
    <w:rsid w:val="00987E88"/>
    <w:rsid w:val="0099187F"/>
    <w:rsid w:val="0099201C"/>
    <w:rsid w:val="00992DEC"/>
    <w:rsid w:val="009931CF"/>
    <w:rsid w:val="0099375D"/>
    <w:rsid w:val="00994113"/>
    <w:rsid w:val="00994197"/>
    <w:rsid w:val="00995FDB"/>
    <w:rsid w:val="00996848"/>
    <w:rsid w:val="00997516"/>
    <w:rsid w:val="009A1BBD"/>
    <w:rsid w:val="009A2EB3"/>
    <w:rsid w:val="009A718D"/>
    <w:rsid w:val="009A77C8"/>
    <w:rsid w:val="009A7B67"/>
    <w:rsid w:val="009A7FCE"/>
    <w:rsid w:val="009B3148"/>
    <w:rsid w:val="009B57B4"/>
    <w:rsid w:val="009B5EC7"/>
    <w:rsid w:val="009B7111"/>
    <w:rsid w:val="009C111C"/>
    <w:rsid w:val="009C2F78"/>
    <w:rsid w:val="009C335B"/>
    <w:rsid w:val="009C3D84"/>
    <w:rsid w:val="009C4A2E"/>
    <w:rsid w:val="009C5345"/>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6F8A"/>
    <w:rsid w:val="00A073F1"/>
    <w:rsid w:val="00A07E5B"/>
    <w:rsid w:val="00A110C7"/>
    <w:rsid w:val="00A11CA5"/>
    <w:rsid w:val="00A123C9"/>
    <w:rsid w:val="00A13615"/>
    <w:rsid w:val="00A13730"/>
    <w:rsid w:val="00A139EB"/>
    <w:rsid w:val="00A13C51"/>
    <w:rsid w:val="00A14040"/>
    <w:rsid w:val="00A145E8"/>
    <w:rsid w:val="00A1499A"/>
    <w:rsid w:val="00A15DEA"/>
    <w:rsid w:val="00A2046E"/>
    <w:rsid w:val="00A22643"/>
    <w:rsid w:val="00A22E6C"/>
    <w:rsid w:val="00A23AA5"/>
    <w:rsid w:val="00A24251"/>
    <w:rsid w:val="00A24328"/>
    <w:rsid w:val="00A26409"/>
    <w:rsid w:val="00A26F05"/>
    <w:rsid w:val="00A300F4"/>
    <w:rsid w:val="00A3218F"/>
    <w:rsid w:val="00A32F62"/>
    <w:rsid w:val="00A32F74"/>
    <w:rsid w:val="00A3374A"/>
    <w:rsid w:val="00A33CEC"/>
    <w:rsid w:val="00A37C25"/>
    <w:rsid w:val="00A41A88"/>
    <w:rsid w:val="00A42562"/>
    <w:rsid w:val="00A4289A"/>
    <w:rsid w:val="00A43D30"/>
    <w:rsid w:val="00A44C7F"/>
    <w:rsid w:val="00A452C7"/>
    <w:rsid w:val="00A45339"/>
    <w:rsid w:val="00A464ED"/>
    <w:rsid w:val="00A47AF8"/>
    <w:rsid w:val="00A50084"/>
    <w:rsid w:val="00A502C4"/>
    <w:rsid w:val="00A506FE"/>
    <w:rsid w:val="00A507CF"/>
    <w:rsid w:val="00A510D5"/>
    <w:rsid w:val="00A51490"/>
    <w:rsid w:val="00A5305D"/>
    <w:rsid w:val="00A541E1"/>
    <w:rsid w:val="00A54E45"/>
    <w:rsid w:val="00A54F0E"/>
    <w:rsid w:val="00A550B5"/>
    <w:rsid w:val="00A5515C"/>
    <w:rsid w:val="00A5635E"/>
    <w:rsid w:val="00A57631"/>
    <w:rsid w:val="00A57E10"/>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80CEF"/>
    <w:rsid w:val="00A8198D"/>
    <w:rsid w:val="00A8210A"/>
    <w:rsid w:val="00A83B23"/>
    <w:rsid w:val="00A8498E"/>
    <w:rsid w:val="00A8523F"/>
    <w:rsid w:val="00A85762"/>
    <w:rsid w:val="00A87136"/>
    <w:rsid w:val="00A87CA9"/>
    <w:rsid w:val="00A90540"/>
    <w:rsid w:val="00A92DD8"/>
    <w:rsid w:val="00A92F82"/>
    <w:rsid w:val="00A94C54"/>
    <w:rsid w:val="00A95E22"/>
    <w:rsid w:val="00A9763E"/>
    <w:rsid w:val="00AA16A9"/>
    <w:rsid w:val="00AA46DD"/>
    <w:rsid w:val="00AA7448"/>
    <w:rsid w:val="00AA7A58"/>
    <w:rsid w:val="00AA7EDE"/>
    <w:rsid w:val="00AA7FBF"/>
    <w:rsid w:val="00AB1575"/>
    <w:rsid w:val="00AB1A57"/>
    <w:rsid w:val="00AB20FD"/>
    <w:rsid w:val="00AB24C7"/>
    <w:rsid w:val="00AB2F96"/>
    <w:rsid w:val="00AB3DB3"/>
    <w:rsid w:val="00AB414D"/>
    <w:rsid w:val="00AB56E5"/>
    <w:rsid w:val="00AB6291"/>
    <w:rsid w:val="00AB6765"/>
    <w:rsid w:val="00AB6CE7"/>
    <w:rsid w:val="00AB742A"/>
    <w:rsid w:val="00AB751B"/>
    <w:rsid w:val="00AC2A8F"/>
    <w:rsid w:val="00AC5FC6"/>
    <w:rsid w:val="00AC67B0"/>
    <w:rsid w:val="00AC75B9"/>
    <w:rsid w:val="00AD08E7"/>
    <w:rsid w:val="00AD1C86"/>
    <w:rsid w:val="00AD2480"/>
    <w:rsid w:val="00AD2656"/>
    <w:rsid w:val="00AD31D7"/>
    <w:rsid w:val="00AD4132"/>
    <w:rsid w:val="00AD444A"/>
    <w:rsid w:val="00AD64AE"/>
    <w:rsid w:val="00AD7B1E"/>
    <w:rsid w:val="00AE0063"/>
    <w:rsid w:val="00AE01F2"/>
    <w:rsid w:val="00AE046E"/>
    <w:rsid w:val="00AE0F07"/>
    <w:rsid w:val="00AE194C"/>
    <w:rsid w:val="00AE328D"/>
    <w:rsid w:val="00AE3BE2"/>
    <w:rsid w:val="00AE40A1"/>
    <w:rsid w:val="00AE4930"/>
    <w:rsid w:val="00AE4F88"/>
    <w:rsid w:val="00AE5050"/>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896"/>
    <w:rsid w:val="00B31A9D"/>
    <w:rsid w:val="00B31CB0"/>
    <w:rsid w:val="00B3205F"/>
    <w:rsid w:val="00B33050"/>
    <w:rsid w:val="00B34FD4"/>
    <w:rsid w:val="00B35398"/>
    <w:rsid w:val="00B35B52"/>
    <w:rsid w:val="00B35C78"/>
    <w:rsid w:val="00B36799"/>
    <w:rsid w:val="00B36F5A"/>
    <w:rsid w:val="00B42EDB"/>
    <w:rsid w:val="00B43A8D"/>
    <w:rsid w:val="00B44403"/>
    <w:rsid w:val="00B449D6"/>
    <w:rsid w:val="00B458FE"/>
    <w:rsid w:val="00B45C73"/>
    <w:rsid w:val="00B45E0D"/>
    <w:rsid w:val="00B475D5"/>
    <w:rsid w:val="00B50B92"/>
    <w:rsid w:val="00B51605"/>
    <w:rsid w:val="00B51E7E"/>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113D"/>
    <w:rsid w:val="00B71D73"/>
    <w:rsid w:val="00B72AA1"/>
    <w:rsid w:val="00B72AB3"/>
    <w:rsid w:val="00B72E99"/>
    <w:rsid w:val="00B734CD"/>
    <w:rsid w:val="00B73F84"/>
    <w:rsid w:val="00B755C1"/>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61F6"/>
    <w:rsid w:val="00BB0A94"/>
    <w:rsid w:val="00BB0E24"/>
    <w:rsid w:val="00BB1438"/>
    <w:rsid w:val="00BB1648"/>
    <w:rsid w:val="00BB2327"/>
    <w:rsid w:val="00BB263C"/>
    <w:rsid w:val="00BB2D3F"/>
    <w:rsid w:val="00BB5A74"/>
    <w:rsid w:val="00BB67F3"/>
    <w:rsid w:val="00BC1C0B"/>
    <w:rsid w:val="00BC3ACE"/>
    <w:rsid w:val="00BC407B"/>
    <w:rsid w:val="00BC4391"/>
    <w:rsid w:val="00BC6DEA"/>
    <w:rsid w:val="00BD0222"/>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D703E"/>
    <w:rsid w:val="00BE12DC"/>
    <w:rsid w:val="00BE15B3"/>
    <w:rsid w:val="00BE1E5E"/>
    <w:rsid w:val="00BE2C43"/>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8DD"/>
    <w:rsid w:val="00BF6D7C"/>
    <w:rsid w:val="00BF72AC"/>
    <w:rsid w:val="00BF73CE"/>
    <w:rsid w:val="00BF7DF4"/>
    <w:rsid w:val="00BF7DF6"/>
    <w:rsid w:val="00C001B2"/>
    <w:rsid w:val="00C01260"/>
    <w:rsid w:val="00C02573"/>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66FF"/>
    <w:rsid w:val="00C16C45"/>
    <w:rsid w:val="00C16D18"/>
    <w:rsid w:val="00C21633"/>
    <w:rsid w:val="00C2220D"/>
    <w:rsid w:val="00C22E7C"/>
    <w:rsid w:val="00C23A18"/>
    <w:rsid w:val="00C23B51"/>
    <w:rsid w:val="00C23C0D"/>
    <w:rsid w:val="00C256D1"/>
    <w:rsid w:val="00C26018"/>
    <w:rsid w:val="00C2606D"/>
    <w:rsid w:val="00C26E2B"/>
    <w:rsid w:val="00C3063F"/>
    <w:rsid w:val="00C31472"/>
    <w:rsid w:val="00C31663"/>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A9D"/>
    <w:rsid w:val="00C45BBB"/>
    <w:rsid w:val="00C46536"/>
    <w:rsid w:val="00C470F4"/>
    <w:rsid w:val="00C4777E"/>
    <w:rsid w:val="00C510F2"/>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828"/>
    <w:rsid w:val="00C66A1C"/>
    <w:rsid w:val="00C70148"/>
    <w:rsid w:val="00C70274"/>
    <w:rsid w:val="00C702F3"/>
    <w:rsid w:val="00C70472"/>
    <w:rsid w:val="00C71832"/>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8F0"/>
    <w:rsid w:val="00C93638"/>
    <w:rsid w:val="00C93F6A"/>
    <w:rsid w:val="00C9492B"/>
    <w:rsid w:val="00C95BD8"/>
    <w:rsid w:val="00C95CAE"/>
    <w:rsid w:val="00C96081"/>
    <w:rsid w:val="00C97578"/>
    <w:rsid w:val="00C97961"/>
    <w:rsid w:val="00CA03F5"/>
    <w:rsid w:val="00CA1679"/>
    <w:rsid w:val="00CA2082"/>
    <w:rsid w:val="00CA3378"/>
    <w:rsid w:val="00CA4D07"/>
    <w:rsid w:val="00CA5744"/>
    <w:rsid w:val="00CA5AE5"/>
    <w:rsid w:val="00CA67D5"/>
    <w:rsid w:val="00CA7FAF"/>
    <w:rsid w:val="00CB0C32"/>
    <w:rsid w:val="00CB22DF"/>
    <w:rsid w:val="00CB36CA"/>
    <w:rsid w:val="00CB49E7"/>
    <w:rsid w:val="00CB4BC1"/>
    <w:rsid w:val="00CB5834"/>
    <w:rsid w:val="00CB5978"/>
    <w:rsid w:val="00CB6CF9"/>
    <w:rsid w:val="00CB6F08"/>
    <w:rsid w:val="00CC063E"/>
    <w:rsid w:val="00CC0D98"/>
    <w:rsid w:val="00CC1713"/>
    <w:rsid w:val="00CC21A8"/>
    <w:rsid w:val="00CC2422"/>
    <w:rsid w:val="00CC2D89"/>
    <w:rsid w:val="00CC3923"/>
    <w:rsid w:val="00CC4697"/>
    <w:rsid w:val="00CC4AB4"/>
    <w:rsid w:val="00CC4BBF"/>
    <w:rsid w:val="00CC4DD8"/>
    <w:rsid w:val="00CC6421"/>
    <w:rsid w:val="00CD1EA3"/>
    <w:rsid w:val="00CD25AF"/>
    <w:rsid w:val="00CD2C22"/>
    <w:rsid w:val="00CD32D6"/>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E16"/>
    <w:rsid w:val="00D0236D"/>
    <w:rsid w:val="00D0307B"/>
    <w:rsid w:val="00D0367F"/>
    <w:rsid w:val="00D04445"/>
    <w:rsid w:val="00D04F75"/>
    <w:rsid w:val="00D06725"/>
    <w:rsid w:val="00D0710A"/>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606"/>
    <w:rsid w:val="00D309FE"/>
    <w:rsid w:val="00D30E88"/>
    <w:rsid w:val="00D315DA"/>
    <w:rsid w:val="00D32956"/>
    <w:rsid w:val="00D33C01"/>
    <w:rsid w:val="00D33C91"/>
    <w:rsid w:val="00D34B95"/>
    <w:rsid w:val="00D351CD"/>
    <w:rsid w:val="00D37535"/>
    <w:rsid w:val="00D37C04"/>
    <w:rsid w:val="00D37EB0"/>
    <w:rsid w:val="00D405EB"/>
    <w:rsid w:val="00D415DC"/>
    <w:rsid w:val="00D416C7"/>
    <w:rsid w:val="00D42B61"/>
    <w:rsid w:val="00D42C8E"/>
    <w:rsid w:val="00D44A3F"/>
    <w:rsid w:val="00D44B2D"/>
    <w:rsid w:val="00D4515E"/>
    <w:rsid w:val="00D4554D"/>
    <w:rsid w:val="00D457D8"/>
    <w:rsid w:val="00D45A44"/>
    <w:rsid w:val="00D46547"/>
    <w:rsid w:val="00D46E89"/>
    <w:rsid w:val="00D474D1"/>
    <w:rsid w:val="00D47BBE"/>
    <w:rsid w:val="00D52006"/>
    <w:rsid w:val="00D52225"/>
    <w:rsid w:val="00D528E9"/>
    <w:rsid w:val="00D53F47"/>
    <w:rsid w:val="00D545B1"/>
    <w:rsid w:val="00D5522E"/>
    <w:rsid w:val="00D552B0"/>
    <w:rsid w:val="00D554D9"/>
    <w:rsid w:val="00D56154"/>
    <w:rsid w:val="00D608ED"/>
    <w:rsid w:val="00D610B1"/>
    <w:rsid w:val="00D6295A"/>
    <w:rsid w:val="00D6429C"/>
    <w:rsid w:val="00D64E62"/>
    <w:rsid w:val="00D664BE"/>
    <w:rsid w:val="00D71ABE"/>
    <w:rsid w:val="00D720AC"/>
    <w:rsid w:val="00D7327A"/>
    <w:rsid w:val="00D7442C"/>
    <w:rsid w:val="00D75255"/>
    <w:rsid w:val="00D7572F"/>
    <w:rsid w:val="00D76BF5"/>
    <w:rsid w:val="00D76E90"/>
    <w:rsid w:val="00D77C26"/>
    <w:rsid w:val="00D77C8E"/>
    <w:rsid w:val="00D77E73"/>
    <w:rsid w:val="00D818E0"/>
    <w:rsid w:val="00D83BB1"/>
    <w:rsid w:val="00D85319"/>
    <w:rsid w:val="00D866C7"/>
    <w:rsid w:val="00D86D5B"/>
    <w:rsid w:val="00D87D62"/>
    <w:rsid w:val="00D90368"/>
    <w:rsid w:val="00D903AB"/>
    <w:rsid w:val="00D90B9B"/>
    <w:rsid w:val="00D931C0"/>
    <w:rsid w:val="00D9373C"/>
    <w:rsid w:val="00D93DB5"/>
    <w:rsid w:val="00D95C64"/>
    <w:rsid w:val="00D96E3E"/>
    <w:rsid w:val="00DA1069"/>
    <w:rsid w:val="00DA13F2"/>
    <w:rsid w:val="00DA31A9"/>
    <w:rsid w:val="00DA3F04"/>
    <w:rsid w:val="00DA47FB"/>
    <w:rsid w:val="00DA4AEE"/>
    <w:rsid w:val="00DA6039"/>
    <w:rsid w:val="00DA6510"/>
    <w:rsid w:val="00DA67A2"/>
    <w:rsid w:val="00DA7299"/>
    <w:rsid w:val="00DA7AED"/>
    <w:rsid w:val="00DA7D23"/>
    <w:rsid w:val="00DB0211"/>
    <w:rsid w:val="00DB3B32"/>
    <w:rsid w:val="00DB40FD"/>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E5"/>
    <w:rsid w:val="00DE5A35"/>
    <w:rsid w:val="00DE5A45"/>
    <w:rsid w:val="00DE6915"/>
    <w:rsid w:val="00DF0C29"/>
    <w:rsid w:val="00DF253D"/>
    <w:rsid w:val="00DF254C"/>
    <w:rsid w:val="00DF2AB7"/>
    <w:rsid w:val="00DF2AC5"/>
    <w:rsid w:val="00DF2C4F"/>
    <w:rsid w:val="00DF41E3"/>
    <w:rsid w:val="00DF46DD"/>
    <w:rsid w:val="00DF7629"/>
    <w:rsid w:val="00DF7AFB"/>
    <w:rsid w:val="00E03A9F"/>
    <w:rsid w:val="00E05EEA"/>
    <w:rsid w:val="00E066F5"/>
    <w:rsid w:val="00E070CD"/>
    <w:rsid w:val="00E110F6"/>
    <w:rsid w:val="00E14281"/>
    <w:rsid w:val="00E145E9"/>
    <w:rsid w:val="00E1498E"/>
    <w:rsid w:val="00E16087"/>
    <w:rsid w:val="00E16E21"/>
    <w:rsid w:val="00E17115"/>
    <w:rsid w:val="00E179DE"/>
    <w:rsid w:val="00E215A4"/>
    <w:rsid w:val="00E218D7"/>
    <w:rsid w:val="00E22950"/>
    <w:rsid w:val="00E23837"/>
    <w:rsid w:val="00E24576"/>
    <w:rsid w:val="00E2478E"/>
    <w:rsid w:val="00E2492C"/>
    <w:rsid w:val="00E24B38"/>
    <w:rsid w:val="00E25501"/>
    <w:rsid w:val="00E25690"/>
    <w:rsid w:val="00E25EB6"/>
    <w:rsid w:val="00E27055"/>
    <w:rsid w:val="00E301E0"/>
    <w:rsid w:val="00E302CD"/>
    <w:rsid w:val="00E309BE"/>
    <w:rsid w:val="00E31D1C"/>
    <w:rsid w:val="00E3270D"/>
    <w:rsid w:val="00E340FE"/>
    <w:rsid w:val="00E341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2357"/>
    <w:rsid w:val="00E62707"/>
    <w:rsid w:val="00E62E04"/>
    <w:rsid w:val="00E64CDD"/>
    <w:rsid w:val="00E651ED"/>
    <w:rsid w:val="00E654A3"/>
    <w:rsid w:val="00E65EE5"/>
    <w:rsid w:val="00E66D50"/>
    <w:rsid w:val="00E675F9"/>
    <w:rsid w:val="00E7032B"/>
    <w:rsid w:val="00E73502"/>
    <w:rsid w:val="00E7452D"/>
    <w:rsid w:val="00E77033"/>
    <w:rsid w:val="00E8084B"/>
    <w:rsid w:val="00E81726"/>
    <w:rsid w:val="00E81E49"/>
    <w:rsid w:val="00E83697"/>
    <w:rsid w:val="00E83823"/>
    <w:rsid w:val="00E859F8"/>
    <w:rsid w:val="00E85B34"/>
    <w:rsid w:val="00E85EBB"/>
    <w:rsid w:val="00E90B2B"/>
    <w:rsid w:val="00E90BC4"/>
    <w:rsid w:val="00E910F3"/>
    <w:rsid w:val="00E9161E"/>
    <w:rsid w:val="00E92C38"/>
    <w:rsid w:val="00E96309"/>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5957"/>
    <w:rsid w:val="00EB6068"/>
    <w:rsid w:val="00EB6381"/>
    <w:rsid w:val="00EB70B5"/>
    <w:rsid w:val="00EB7742"/>
    <w:rsid w:val="00EC0AAD"/>
    <w:rsid w:val="00EC208D"/>
    <w:rsid w:val="00EC2C2D"/>
    <w:rsid w:val="00EC2C82"/>
    <w:rsid w:val="00EC432C"/>
    <w:rsid w:val="00EC6D0C"/>
    <w:rsid w:val="00EC6DC6"/>
    <w:rsid w:val="00EC7361"/>
    <w:rsid w:val="00EC7A81"/>
    <w:rsid w:val="00ED0180"/>
    <w:rsid w:val="00ED0A49"/>
    <w:rsid w:val="00ED16DC"/>
    <w:rsid w:val="00ED1F96"/>
    <w:rsid w:val="00ED5AB7"/>
    <w:rsid w:val="00ED6594"/>
    <w:rsid w:val="00ED72B8"/>
    <w:rsid w:val="00ED7C43"/>
    <w:rsid w:val="00EE077A"/>
    <w:rsid w:val="00EE115B"/>
    <w:rsid w:val="00EE231F"/>
    <w:rsid w:val="00EE23C3"/>
    <w:rsid w:val="00EE3462"/>
    <w:rsid w:val="00EE56A6"/>
    <w:rsid w:val="00EE5831"/>
    <w:rsid w:val="00EE5A03"/>
    <w:rsid w:val="00EE7201"/>
    <w:rsid w:val="00EE7215"/>
    <w:rsid w:val="00EE752A"/>
    <w:rsid w:val="00EE782C"/>
    <w:rsid w:val="00EF1A6E"/>
    <w:rsid w:val="00EF1A73"/>
    <w:rsid w:val="00EF1F45"/>
    <w:rsid w:val="00EF2869"/>
    <w:rsid w:val="00EF3AD5"/>
    <w:rsid w:val="00EF4562"/>
    <w:rsid w:val="00EF49B3"/>
    <w:rsid w:val="00EF4F41"/>
    <w:rsid w:val="00EF5F2D"/>
    <w:rsid w:val="00EF6481"/>
    <w:rsid w:val="00F00F06"/>
    <w:rsid w:val="00F0154D"/>
    <w:rsid w:val="00F0249F"/>
    <w:rsid w:val="00F02C25"/>
    <w:rsid w:val="00F04C5E"/>
    <w:rsid w:val="00F04F1D"/>
    <w:rsid w:val="00F0607E"/>
    <w:rsid w:val="00F06A24"/>
    <w:rsid w:val="00F06AAD"/>
    <w:rsid w:val="00F06F88"/>
    <w:rsid w:val="00F11B12"/>
    <w:rsid w:val="00F12FE1"/>
    <w:rsid w:val="00F13345"/>
    <w:rsid w:val="00F14F60"/>
    <w:rsid w:val="00F15596"/>
    <w:rsid w:val="00F15DAC"/>
    <w:rsid w:val="00F16583"/>
    <w:rsid w:val="00F20C69"/>
    <w:rsid w:val="00F21B3A"/>
    <w:rsid w:val="00F22C85"/>
    <w:rsid w:val="00F22F28"/>
    <w:rsid w:val="00F239C5"/>
    <w:rsid w:val="00F250ED"/>
    <w:rsid w:val="00F255B7"/>
    <w:rsid w:val="00F26796"/>
    <w:rsid w:val="00F2706B"/>
    <w:rsid w:val="00F27273"/>
    <w:rsid w:val="00F27AB9"/>
    <w:rsid w:val="00F30A69"/>
    <w:rsid w:val="00F31298"/>
    <w:rsid w:val="00F32209"/>
    <w:rsid w:val="00F3283C"/>
    <w:rsid w:val="00F32BA7"/>
    <w:rsid w:val="00F33D16"/>
    <w:rsid w:val="00F33D9E"/>
    <w:rsid w:val="00F3571B"/>
    <w:rsid w:val="00F3591E"/>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938"/>
    <w:rsid w:val="00F51E15"/>
    <w:rsid w:val="00F52FBA"/>
    <w:rsid w:val="00F5443A"/>
    <w:rsid w:val="00F54680"/>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6DF0"/>
    <w:rsid w:val="00F67D3F"/>
    <w:rsid w:val="00F70F4C"/>
    <w:rsid w:val="00F746CA"/>
    <w:rsid w:val="00F74FF9"/>
    <w:rsid w:val="00F755E3"/>
    <w:rsid w:val="00F75EB9"/>
    <w:rsid w:val="00F7669E"/>
    <w:rsid w:val="00F76E3E"/>
    <w:rsid w:val="00F773BD"/>
    <w:rsid w:val="00F806FF"/>
    <w:rsid w:val="00F80CD1"/>
    <w:rsid w:val="00F824D5"/>
    <w:rsid w:val="00F8486D"/>
    <w:rsid w:val="00F8524C"/>
    <w:rsid w:val="00F85DCE"/>
    <w:rsid w:val="00F86380"/>
    <w:rsid w:val="00F872D6"/>
    <w:rsid w:val="00F9009E"/>
    <w:rsid w:val="00F90A1C"/>
    <w:rsid w:val="00F91ECA"/>
    <w:rsid w:val="00F923F0"/>
    <w:rsid w:val="00F923FC"/>
    <w:rsid w:val="00F95202"/>
    <w:rsid w:val="00F956A6"/>
    <w:rsid w:val="00F96755"/>
    <w:rsid w:val="00F967E5"/>
    <w:rsid w:val="00F97D36"/>
    <w:rsid w:val="00FA0866"/>
    <w:rsid w:val="00FA0BE7"/>
    <w:rsid w:val="00FA11F5"/>
    <w:rsid w:val="00FA3373"/>
    <w:rsid w:val="00FA36F4"/>
    <w:rsid w:val="00FA486B"/>
    <w:rsid w:val="00FA4AED"/>
    <w:rsid w:val="00FA568E"/>
    <w:rsid w:val="00FA5A69"/>
    <w:rsid w:val="00FA655C"/>
    <w:rsid w:val="00FB0D63"/>
    <w:rsid w:val="00FB181A"/>
    <w:rsid w:val="00FB1BCF"/>
    <w:rsid w:val="00FB21AF"/>
    <w:rsid w:val="00FB26A2"/>
    <w:rsid w:val="00FB28BF"/>
    <w:rsid w:val="00FB2D87"/>
    <w:rsid w:val="00FB39A3"/>
    <w:rsid w:val="00FB3A2B"/>
    <w:rsid w:val="00FB41B0"/>
    <w:rsid w:val="00FB6151"/>
    <w:rsid w:val="00FB6299"/>
    <w:rsid w:val="00FB6BCE"/>
    <w:rsid w:val="00FB6C2F"/>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uiPriority w:val="9"/>
    <w:qFormat/>
    <w:rsid w:val="00F21B3A"/>
    <w:pPr>
      <w:keepNext/>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uiPriority w:val="9"/>
    <w:qFormat/>
    <w:rsid w:val="00D52006"/>
    <w:pPr>
      <w:keepNext/>
      <w:spacing w:before="360" w:after="120"/>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uiPriority w:val="9"/>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37079123">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woolley@sms-plc.com" TargetMode="Externa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nrolment.adoption@smartdcc.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sultations@smartdcc.co.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NDYQVYFD76VK-1947674797-335</_dlc_DocId>
    <_dlc_DocIdUrl xmlns="a506c0bb-1327-4a28-8c99-5f231145fa20">
      <Url>https://smartdcc.sharepoint.com/sites/DCCChargingReview/_layouts/15/DocIdRedir.aspx?ID=NDYQVYFD76VK-1947674797-335</Url>
      <Description>NDYQVYFD76VK-1947674797-335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2.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3.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caadc02b-7cc9-4736-8b89-7694a3a12b48"/>
    <ds:schemaRef ds:uri="af099861-8497-4a35-8ea8-f127fb0f0918"/>
    <ds:schemaRef ds:uri="67a07c00-9754-4499-9669-d8354a154d93"/>
    <ds:schemaRef ds:uri="fb65b881-9c7a-4780-99ae-1567f4d96934"/>
    <ds:schemaRef ds:uri="http://schemas.microsoft.com/sharepoint/v3"/>
  </ds:schemaRefs>
</ds:datastoreItem>
</file>

<file path=customXml/itemProps4.xml><?xml version="1.0" encoding="utf-8"?>
<ds:datastoreItem xmlns:ds="http://schemas.openxmlformats.org/officeDocument/2006/customXml" ds:itemID="{E8B9B415-4503-43C6-BF91-67AE18BE5962}"/>
</file>

<file path=customXml/itemProps5.xml><?xml version="1.0" encoding="utf-8"?>
<ds:datastoreItem xmlns:ds="http://schemas.openxmlformats.org/officeDocument/2006/customXml" ds:itemID="{A84B27C9-AE96-4004-A619-B3984DDB785D}"/>
</file>

<file path=docMetadata/LabelInfo.xml><?xml version="1.0" encoding="utf-8"?>
<clbl:labelList xmlns:clbl="http://schemas.microsoft.com/office/2020/mipLabelMetadata">
  <clbl:label id="{fbcb2dc7-968f-4c81-9df8-f4016f142a5a}" enabled="1" method="Privileged" siteId="{916e3244-4945-42e9-9c5c-eeca5d5b8748}"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2355</Words>
  <Characters>12526</Characters>
  <Application>Microsoft Office Word</Application>
  <DocSecurity>0</DocSecurity>
  <Lines>104</Lines>
  <Paragraphs>29</Paragraphs>
  <ScaleCrop>false</ScaleCrop>
  <Company/>
  <LinksUpToDate>false</LinksUpToDate>
  <CharactersWithSpaces>14852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2024-06-27T17:32:00Z</dcterms:created>
  <dcterms:modified xsi:type="dcterms:W3CDTF">2024-06-27T17:39:00Z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61e9bf5d-62da-4df1-83b9-e0351aedc13f</vt:lpwstr>
  </property>
  <property fmtid="{D5CDD505-2E9C-101B-9397-08002B2CF9AE}" pid="19" name="SmartDCCDocumentType">
    <vt:lpwstr/>
  </property>
  <property fmtid="{D5CDD505-2E9C-101B-9397-08002B2CF9AE}" pid="20" name="SmartDCCSecurityClassification">
    <vt:lpwstr/>
  </property>
  <property fmtid="{D5CDD505-2E9C-101B-9397-08002B2CF9AE}" pid="21" name="DCCRelease">
    <vt:lpwstr/>
  </property>
  <property fmtid="{D5CDD505-2E9C-101B-9397-08002B2CF9AE}" pid="22" name="DCCDocumentStatus">
    <vt:lpwstr/>
  </property>
  <property fmtid="{D5CDD505-2E9C-101B-9397-08002B2CF9AE}" pid="23" name="DCCDepartment">
    <vt:lpwstr/>
  </property>
</Properties>
</file>